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FC65B" w14:textId="377CF766" w:rsidR="005B512B" w:rsidRDefault="008A6223">
      <w:r>
        <w:rPr>
          <w:noProof/>
          <w:lang w:eastAsia="zh-CN"/>
        </w:rPr>
        <w:drawing>
          <wp:inline distT="0" distB="0" distL="0" distR="0" wp14:anchorId="28C739B1" wp14:editId="36DF81A2">
            <wp:extent cx="18796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381000"/>
                    </a:xfrm>
                    <a:prstGeom prst="rect">
                      <a:avLst/>
                    </a:prstGeom>
                    <a:noFill/>
                    <a:ln>
                      <a:noFill/>
                    </a:ln>
                  </pic:spPr>
                </pic:pic>
              </a:graphicData>
            </a:graphic>
          </wp:inline>
        </w:drawing>
      </w:r>
    </w:p>
    <w:p w14:paraId="3C8984F9" w14:textId="77777777" w:rsidR="005B512B" w:rsidRDefault="00F032DA">
      <w:pPr>
        <w:spacing w:before="360" w:line="360" w:lineRule="atLeast"/>
        <w:jc w:val="both"/>
      </w:pPr>
      <w:r>
        <w:rPr>
          <w:rFonts w:ascii="Arial" w:eastAsia="Arial" w:hAnsi="Arial" w:cs="Arial"/>
          <w:b/>
          <w:color w:val="000000"/>
        </w:rPr>
        <w:t>Document (1)</w:t>
      </w:r>
    </w:p>
    <w:p w14:paraId="02BF1E4D" w14:textId="77777777" w:rsidR="005B512B" w:rsidRDefault="00F032DA">
      <w:pPr>
        <w:spacing w:before="200" w:line="300" w:lineRule="atLeast"/>
        <w:ind w:left="440" w:hanging="290"/>
      </w:pPr>
      <w:r>
        <w:rPr>
          <w:rFonts w:ascii="Arial" w:eastAsia="Arial" w:hAnsi="Arial" w:cs="Arial"/>
          <w:sz w:val="20"/>
        </w:rPr>
        <w:t>1.</w:t>
      </w:r>
      <w:hyperlink r:id="rId7" w:history="1">
        <w:r>
          <w:rPr>
            <w:rFonts w:ascii="Arial" w:eastAsia="Arial" w:hAnsi="Arial" w:cs="Arial"/>
            <w:color w:val="000000"/>
            <w:sz w:val="20"/>
            <w:u w:val="single"/>
          </w:rPr>
          <w:t xml:space="preserve"> </w:t>
        </w:r>
      </w:hyperlink>
      <w:hyperlink r:id="rId8" w:history="1">
        <w:r>
          <w:rPr>
            <w:rFonts w:ascii="Arial" w:eastAsia="Arial" w:hAnsi="Arial" w:cs="Arial"/>
            <w:i/>
            <w:color w:val="0077CC"/>
            <w:sz w:val="20"/>
            <w:u w:val="single"/>
          </w:rPr>
          <w:t>DEPARTMENT: PRACTICE TIPS: HOW PRESLEY HOMES HAS CHANGED THE DUTY TO DEFEND, 26 Los Angeles Lawyer 17</w:t>
        </w:r>
      </w:hyperlink>
    </w:p>
    <w:p w14:paraId="78FA1B47" w14:textId="77777777" w:rsidR="005B512B" w:rsidRDefault="005B512B">
      <w:pPr>
        <w:sectPr w:rsidR="005B512B">
          <w:footerReference w:type="default" r:id="rId9"/>
          <w:pgSz w:w="12240" w:h="15840"/>
          <w:pgMar w:top="840" w:right="1080" w:bottom="840" w:left="1080" w:header="0" w:footer="0" w:gutter="0"/>
          <w:cols w:space="720"/>
        </w:sectPr>
      </w:pPr>
      <w:bookmarkStart w:id="0" w:name="_GoBack"/>
      <w:bookmarkEnd w:id="0"/>
    </w:p>
    <w:p w14:paraId="2DF5728D" w14:textId="77777777" w:rsidR="005B512B" w:rsidRDefault="005B512B">
      <w:pPr>
        <w:sectPr w:rsidR="005B512B">
          <w:headerReference w:type="even" r:id="rId10"/>
          <w:headerReference w:type="default" r:id="rId11"/>
          <w:footerReference w:type="even" r:id="rId12"/>
          <w:footerReference w:type="default" r:id="rId13"/>
          <w:headerReference w:type="first" r:id="rId14"/>
          <w:footerReference w:type="first" r:id="rId15"/>
          <w:pgSz w:w="12240" w:h="15840"/>
          <w:pgMar w:top="840" w:right="1000" w:bottom="840" w:left="1000" w:header="400" w:footer="400" w:gutter="0"/>
          <w:cols w:space="720"/>
          <w:titlePg/>
        </w:sectPr>
      </w:pPr>
    </w:p>
    <w:p w14:paraId="3C384A17" w14:textId="77777777" w:rsidR="005B512B" w:rsidRDefault="005B512B">
      <w:bookmarkStart w:id="1" w:name="Bookmark_1"/>
      <w:bookmarkEnd w:id="1"/>
    </w:p>
    <w:p w14:paraId="567F170A" w14:textId="77777777" w:rsidR="005B512B" w:rsidRDefault="00F032DA">
      <w:pPr>
        <w:spacing w:before="240" w:after="200" w:line="340" w:lineRule="atLeast"/>
        <w:jc w:val="center"/>
        <w:outlineLvl w:val="0"/>
        <w:rPr>
          <w:rFonts w:ascii="Arial" w:hAnsi="Arial" w:cs="Arial"/>
          <w:b/>
          <w:bCs/>
          <w:kern w:val="32"/>
          <w:sz w:val="32"/>
          <w:szCs w:val="32"/>
        </w:rPr>
      </w:pPr>
      <w:hyperlink r:id="rId16" w:history="1">
        <w:r>
          <w:rPr>
            <w:rFonts w:ascii="Arial" w:eastAsia="Arial" w:hAnsi="Arial" w:cs="Arial"/>
            <w:b/>
            <w:bCs/>
            <w:i/>
            <w:color w:val="0077CC"/>
            <w:kern w:val="32"/>
            <w:sz w:val="28"/>
            <w:szCs w:val="32"/>
            <w:u w:val="single"/>
          </w:rPr>
          <w:t xml:space="preserve">DEPARTMENT: PRACTICE TIPS: </w:t>
        </w:r>
      </w:hyperlink>
      <w:hyperlink r:id="rId17" w:history="1">
        <w:r>
          <w:rPr>
            <w:rFonts w:ascii="Arial" w:eastAsia="Arial" w:hAnsi="Arial" w:cs="Arial"/>
            <w:b/>
            <w:bCs/>
            <w:i/>
            <w:color w:val="0077CC"/>
            <w:kern w:val="32"/>
            <w:sz w:val="28"/>
            <w:szCs w:val="32"/>
            <w:u w:val="single"/>
          </w:rPr>
          <w:t>HOW</w:t>
        </w:r>
      </w:hyperlink>
      <w:hyperlink r:id="rId18" w:history="1">
        <w:r>
          <w:rPr>
            <w:rFonts w:ascii="Arial" w:eastAsia="Arial" w:hAnsi="Arial" w:cs="Arial"/>
            <w:b/>
            <w:bCs/>
            <w:i/>
            <w:color w:val="0077CC"/>
            <w:kern w:val="32"/>
            <w:sz w:val="28"/>
            <w:szCs w:val="32"/>
            <w:u w:val="single"/>
          </w:rPr>
          <w:t xml:space="preserve"> </w:t>
        </w:r>
      </w:hyperlink>
      <w:hyperlink r:id="rId19" w:history="1">
        <w:r>
          <w:rPr>
            <w:rFonts w:ascii="Arial" w:eastAsia="Arial" w:hAnsi="Arial" w:cs="Arial"/>
            <w:b/>
            <w:bCs/>
            <w:i/>
            <w:color w:val="0077CC"/>
            <w:kern w:val="32"/>
            <w:sz w:val="28"/>
            <w:szCs w:val="32"/>
            <w:u w:val="single"/>
          </w:rPr>
          <w:t>PRESLEY</w:t>
        </w:r>
      </w:hyperlink>
      <w:hyperlink r:id="rId20" w:history="1">
        <w:r>
          <w:rPr>
            <w:rFonts w:ascii="Arial" w:eastAsia="Arial" w:hAnsi="Arial" w:cs="Arial"/>
            <w:b/>
            <w:bCs/>
            <w:i/>
            <w:color w:val="0077CC"/>
            <w:kern w:val="32"/>
            <w:sz w:val="28"/>
            <w:szCs w:val="32"/>
            <w:u w:val="single"/>
          </w:rPr>
          <w:t xml:space="preserve"> </w:t>
        </w:r>
      </w:hyperlink>
      <w:hyperlink r:id="rId21" w:history="1">
        <w:r>
          <w:rPr>
            <w:rFonts w:ascii="Arial" w:eastAsia="Arial" w:hAnsi="Arial" w:cs="Arial"/>
            <w:b/>
            <w:bCs/>
            <w:i/>
            <w:color w:val="0077CC"/>
            <w:kern w:val="32"/>
            <w:sz w:val="28"/>
            <w:szCs w:val="32"/>
            <w:u w:val="single"/>
          </w:rPr>
          <w:t>HOMES</w:t>
        </w:r>
      </w:hyperlink>
      <w:hyperlink r:id="rId22" w:history="1">
        <w:r>
          <w:rPr>
            <w:rFonts w:ascii="Arial" w:eastAsia="Arial" w:hAnsi="Arial" w:cs="Arial"/>
            <w:b/>
            <w:bCs/>
            <w:i/>
            <w:color w:val="0077CC"/>
            <w:kern w:val="32"/>
            <w:sz w:val="28"/>
            <w:szCs w:val="32"/>
            <w:u w:val="single"/>
          </w:rPr>
          <w:t xml:space="preserve"> HAS </w:t>
        </w:r>
      </w:hyperlink>
      <w:hyperlink r:id="rId23" w:history="1">
        <w:r>
          <w:rPr>
            <w:rFonts w:ascii="Arial" w:eastAsia="Arial" w:hAnsi="Arial" w:cs="Arial"/>
            <w:b/>
            <w:bCs/>
            <w:i/>
            <w:color w:val="0077CC"/>
            <w:kern w:val="32"/>
            <w:sz w:val="28"/>
            <w:szCs w:val="32"/>
            <w:u w:val="single"/>
          </w:rPr>
          <w:t>CHANGED</w:t>
        </w:r>
      </w:hyperlink>
      <w:hyperlink r:id="rId24" w:history="1">
        <w:r>
          <w:rPr>
            <w:rFonts w:ascii="Arial" w:eastAsia="Arial" w:hAnsi="Arial" w:cs="Arial"/>
            <w:b/>
            <w:bCs/>
            <w:i/>
            <w:color w:val="0077CC"/>
            <w:kern w:val="32"/>
            <w:sz w:val="28"/>
            <w:szCs w:val="32"/>
            <w:u w:val="single"/>
          </w:rPr>
          <w:t xml:space="preserve"> THE </w:t>
        </w:r>
      </w:hyperlink>
      <w:hyperlink r:id="rId25" w:history="1">
        <w:r>
          <w:rPr>
            <w:rFonts w:ascii="Arial" w:eastAsia="Arial" w:hAnsi="Arial" w:cs="Arial"/>
            <w:b/>
            <w:bCs/>
            <w:i/>
            <w:color w:val="0077CC"/>
            <w:kern w:val="32"/>
            <w:sz w:val="28"/>
            <w:szCs w:val="32"/>
            <w:u w:val="single"/>
          </w:rPr>
          <w:t>DUTY</w:t>
        </w:r>
      </w:hyperlink>
      <w:hyperlink r:id="rId26" w:history="1">
        <w:r>
          <w:rPr>
            <w:rFonts w:ascii="Arial" w:eastAsia="Arial" w:hAnsi="Arial" w:cs="Arial"/>
            <w:b/>
            <w:bCs/>
            <w:i/>
            <w:color w:val="0077CC"/>
            <w:kern w:val="32"/>
            <w:sz w:val="28"/>
            <w:szCs w:val="32"/>
            <w:u w:val="single"/>
          </w:rPr>
          <w:t xml:space="preserve"> TO </w:t>
        </w:r>
      </w:hyperlink>
      <w:hyperlink r:id="rId27" w:history="1">
        <w:r>
          <w:rPr>
            <w:rFonts w:ascii="Arial" w:eastAsia="Arial" w:hAnsi="Arial" w:cs="Arial"/>
            <w:b/>
            <w:bCs/>
            <w:i/>
            <w:color w:val="0077CC"/>
            <w:kern w:val="32"/>
            <w:sz w:val="28"/>
            <w:szCs w:val="32"/>
            <w:u w:val="single"/>
          </w:rPr>
          <w:t>DEFEND</w:t>
        </w:r>
      </w:hyperlink>
    </w:p>
    <w:p w14:paraId="64A3CDCC" w14:textId="77777777" w:rsidR="005B512B" w:rsidRDefault="00F032DA">
      <w:pPr>
        <w:spacing w:before="120" w:line="260" w:lineRule="atLeast"/>
        <w:jc w:val="center"/>
      </w:pPr>
      <w:r>
        <w:rPr>
          <w:rFonts w:ascii="Arial" w:eastAsia="Arial" w:hAnsi="Arial" w:cs="Arial"/>
          <w:color w:val="000000"/>
          <w:sz w:val="20"/>
        </w:rPr>
        <w:t>April, 2003</w:t>
      </w:r>
    </w:p>
    <w:p w14:paraId="7B1AEBEA" w14:textId="77777777" w:rsidR="005B512B" w:rsidRDefault="005B512B">
      <w:pPr>
        <w:spacing w:line="240" w:lineRule="atLeast"/>
        <w:jc w:val="both"/>
      </w:pPr>
    </w:p>
    <w:p w14:paraId="52D963EC" w14:textId="77777777" w:rsidR="005B512B" w:rsidRDefault="00F032DA">
      <w:pPr>
        <w:spacing w:before="200" w:line="240" w:lineRule="atLeast"/>
      </w:pPr>
      <w:bookmarkStart w:id="2" w:name="Reporter"/>
      <w:bookmarkEnd w:id="2"/>
      <w:r>
        <w:rPr>
          <w:rFonts w:ascii="Arial" w:eastAsia="Arial" w:hAnsi="Arial" w:cs="Arial"/>
          <w:b/>
          <w:color w:val="000000"/>
          <w:sz w:val="18"/>
        </w:rPr>
        <w:t>Reporter</w:t>
      </w:r>
    </w:p>
    <w:p w14:paraId="78DB2E92" w14:textId="77777777" w:rsidR="005B512B" w:rsidRDefault="00F032DA">
      <w:pPr>
        <w:spacing w:line="240" w:lineRule="atLeast"/>
      </w:pPr>
      <w:r>
        <w:rPr>
          <w:rFonts w:ascii="Arial" w:eastAsia="Arial" w:hAnsi="Arial" w:cs="Arial"/>
          <w:color w:val="000000"/>
          <w:sz w:val="18"/>
        </w:rPr>
        <w:t>26 Los Angeles Lawyer 17 *</w:t>
      </w:r>
    </w:p>
    <w:p w14:paraId="0B968F14" w14:textId="77777777" w:rsidR="005B512B" w:rsidRDefault="00F032DA">
      <w:pPr>
        <w:spacing w:before="240" w:line="260" w:lineRule="atLeast"/>
      </w:pPr>
      <w:r>
        <w:br/>
      </w:r>
      <w:r>
        <w:rPr>
          <w:rFonts w:ascii="Arial" w:eastAsia="Arial" w:hAnsi="Arial" w:cs="Arial"/>
          <w:b/>
          <w:color w:val="000000"/>
          <w:sz w:val="20"/>
        </w:rPr>
        <w:t>Length:</w:t>
      </w:r>
      <w:r>
        <w:rPr>
          <w:rFonts w:ascii="Arial" w:eastAsia="Arial" w:hAnsi="Arial" w:cs="Arial"/>
          <w:color w:val="000000"/>
          <w:sz w:val="20"/>
        </w:rPr>
        <w:t> 3930 words</w:t>
      </w:r>
    </w:p>
    <w:p w14:paraId="29FBA571" w14:textId="77777777" w:rsidR="005B512B" w:rsidRDefault="00F032DA">
      <w:pPr>
        <w:spacing w:before="240" w:line="260" w:lineRule="atLeast"/>
      </w:pPr>
      <w:r>
        <w:br/>
      </w:r>
      <w:r>
        <w:rPr>
          <w:rFonts w:ascii="Arial" w:eastAsia="Arial" w:hAnsi="Arial" w:cs="Arial"/>
          <w:b/>
          <w:color w:val="000000"/>
          <w:sz w:val="20"/>
        </w:rPr>
        <w:t>Author:</w:t>
      </w:r>
      <w:r>
        <w:rPr>
          <w:rFonts w:ascii="Arial" w:eastAsia="Arial" w:hAnsi="Arial" w:cs="Arial"/>
          <w:color w:val="000000"/>
          <w:sz w:val="20"/>
        </w:rPr>
        <w:t xml:space="preserve"> By </w:t>
      </w:r>
      <w:r>
        <w:rPr>
          <w:rFonts w:ascii="Arial" w:eastAsia="Arial" w:hAnsi="Arial" w:cs="Arial"/>
          <w:b/>
          <w:i/>
          <w:color w:val="000000"/>
          <w:sz w:val="20"/>
          <w:u w:val="single"/>
        </w:rPr>
        <w:t>David Ezra</w:t>
      </w:r>
    </w:p>
    <w:p w14:paraId="3606BC37" w14:textId="77777777" w:rsidR="005B512B" w:rsidRDefault="00F032DA">
      <w:pPr>
        <w:spacing w:before="200" w:line="260" w:lineRule="atLeast"/>
        <w:jc w:val="both"/>
      </w:pPr>
      <w:r>
        <w:rPr>
          <w:rFonts w:ascii="Arial" w:eastAsia="Arial" w:hAnsi="Arial" w:cs="Arial"/>
          <w:b/>
          <w:i/>
          <w:color w:val="000000"/>
          <w:sz w:val="20"/>
          <w:u w:val="single"/>
        </w:rPr>
        <w:t>David Ezra</w:t>
      </w:r>
      <w:r>
        <w:rPr>
          <w:rFonts w:ascii="Arial" w:eastAsia="Arial" w:hAnsi="Arial" w:cs="Arial"/>
          <w:color w:val="000000"/>
          <w:sz w:val="20"/>
        </w:rPr>
        <w:t xml:space="preserve"> specializes in insurance coverage law and is a partner in Berger, Kahn, Shafton, Moss, Figler, Simon &amp;</w:t>
      </w:r>
      <w:r>
        <w:rPr>
          <w:rFonts w:ascii="Arial" w:eastAsia="Arial" w:hAnsi="Arial" w:cs="Arial"/>
          <w:color w:val="000000"/>
          <w:sz w:val="20"/>
        </w:rPr>
        <w:t xml:space="preserve"> Gladstone's Irvine office.</w:t>
      </w:r>
    </w:p>
    <w:p w14:paraId="3B6F4D7E" w14:textId="77777777" w:rsidR="005B512B" w:rsidRDefault="00F032DA">
      <w:pPr>
        <w:keepNext/>
        <w:spacing w:before="240" w:line="340" w:lineRule="atLeast"/>
      </w:pPr>
      <w:r>
        <w:br/>
      </w:r>
      <w:r>
        <w:rPr>
          <w:rFonts w:ascii="Arial" w:eastAsia="Arial" w:hAnsi="Arial" w:cs="Arial"/>
          <w:b/>
          <w:color w:val="000000"/>
          <w:sz w:val="28"/>
        </w:rPr>
        <w:t>Text</w:t>
      </w:r>
    </w:p>
    <w:p w14:paraId="37FCA780" w14:textId="0EF52712" w:rsidR="005B512B" w:rsidRDefault="008A6223">
      <w:pPr>
        <w:spacing w:line="60" w:lineRule="exact"/>
      </w:pPr>
      <w:r>
        <w:rPr>
          <w:noProof/>
          <w:lang w:eastAsia="zh-CN"/>
        </w:rPr>
        <mc:AlternateContent>
          <mc:Choice Requires="wps">
            <w:drawing>
              <wp:anchor distT="0" distB="0" distL="114300" distR="114300" simplePos="0" relativeHeight="251658240" behindDoc="0" locked="0" layoutInCell="1" allowOverlap="1" wp14:anchorId="7DFD040D" wp14:editId="4D03342B">
                <wp:simplePos x="0" y="0"/>
                <wp:positionH relativeFrom="column">
                  <wp:posOffset>0</wp:posOffset>
                </wp:positionH>
                <wp:positionV relativeFrom="paragraph">
                  <wp:posOffset>25400</wp:posOffset>
                </wp:positionV>
                <wp:extent cx="6502400" cy="0"/>
                <wp:effectExtent l="25400" t="25400" r="38100" b="3810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8216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" strokecolor="#009ddb" strokeweight="2pt">
                <w10:wrap type="topAndBottom"/>
              </v:line>
            </w:pict>
          </mc:Fallback>
        </mc:AlternateContent>
      </w:r>
    </w:p>
    <w:p w14:paraId="72B2B356" w14:textId="77777777" w:rsidR="005B512B" w:rsidRDefault="005B512B"/>
    <w:p w14:paraId="4C96E247" w14:textId="77777777" w:rsidR="005B512B" w:rsidRDefault="00F032DA">
      <w:pPr>
        <w:spacing w:before="200" w:line="260" w:lineRule="atLeast"/>
        <w:jc w:val="both"/>
      </w:pPr>
      <w:r>
        <w:rPr>
          <w:rFonts w:ascii="Arial" w:eastAsia="Arial" w:hAnsi="Arial" w:cs="Arial"/>
          <w:b/>
          <w:color w:val="000000"/>
          <w:sz w:val="20"/>
        </w:rPr>
        <w:t> [*17] </w:t>
      </w:r>
      <w:r>
        <w:rPr>
          <w:rFonts w:ascii="Arial" w:eastAsia="Arial" w:hAnsi="Arial" w:cs="Arial"/>
          <w:color w:val="000000"/>
          <w:sz w:val="20"/>
        </w:rPr>
        <w:t xml:space="preserve"> </w:t>
      </w:r>
      <w:r>
        <w:rPr>
          <w:rFonts w:ascii="Arial" w:eastAsia="Arial" w:hAnsi="Arial" w:cs="Arial"/>
          <w:b/>
          <w:color w:val="000000"/>
          <w:sz w:val="20"/>
        </w:rPr>
        <w:t>The appellate court's impact on construction defect litigation may turn out to be limited</w:t>
      </w:r>
    </w:p>
    <w:p w14:paraId="53739755" w14:textId="77777777" w:rsidR="005B512B" w:rsidRDefault="00F032DA">
      <w:pPr>
        <w:spacing w:before="200" w:line="260" w:lineRule="atLeast"/>
        <w:jc w:val="both"/>
      </w:pPr>
      <w:r>
        <w:rPr>
          <w:rFonts w:ascii="Arial" w:eastAsia="Arial" w:hAnsi="Arial" w:cs="Arial"/>
          <w:color w:val="000000"/>
          <w:sz w:val="20"/>
        </w:rPr>
        <w:t>Any attorney who participates in construction defect litigation quickly becomes familiar with the difficulties that can a</w:t>
      </w:r>
      <w:r>
        <w:rPr>
          <w:rFonts w:ascii="Arial" w:eastAsia="Arial" w:hAnsi="Arial" w:cs="Arial"/>
          <w:color w:val="000000"/>
          <w:sz w:val="20"/>
        </w:rPr>
        <w:t xml:space="preserve">rise when 20 or 30 different insurance policies provide potential coverage, and a </w:t>
      </w:r>
      <w:r>
        <w:rPr>
          <w:rFonts w:ascii="Arial" w:eastAsia="Arial" w:hAnsi="Arial" w:cs="Arial"/>
          <w:b/>
          <w:i/>
          <w:color w:val="000000"/>
          <w:sz w:val="20"/>
          <w:u w:val="single"/>
        </w:rPr>
        <w:t>duty to defend</w:t>
      </w:r>
      <w:r>
        <w:rPr>
          <w:rFonts w:ascii="Arial" w:eastAsia="Arial" w:hAnsi="Arial" w:cs="Arial"/>
          <w:color w:val="000000"/>
          <w:sz w:val="20"/>
        </w:rPr>
        <w:t xml:space="preserve">, for a single developer that has been sued by a group of homeowners or a </w:t>
      </w:r>
      <w:r>
        <w:rPr>
          <w:rFonts w:ascii="Arial" w:eastAsia="Arial" w:hAnsi="Arial" w:cs="Arial"/>
          <w:b/>
          <w:i/>
          <w:color w:val="000000"/>
          <w:sz w:val="20"/>
          <w:u w:val="single"/>
        </w:rPr>
        <w:t>home</w:t>
      </w:r>
      <w:r>
        <w:rPr>
          <w:rFonts w:ascii="Arial" w:eastAsia="Arial" w:hAnsi="Arial" w:cs="Arial"/>
          <w:color w:val="000000"/>
          <w:sz w:val="20"/>
        </w:rPr>
        <w:t>-owners' association. Disputes about access to information, who controls the defen</w:t>
      </w:r>
      <w:r>
        <w:rPr>
          <w:rFonts w:ascii="Arial" w:eastAsia="Arial" w:hAnsi="Arial" w:cs="Arial"/>
          <w:color w:val="000000"/>
          <w:sz w:val="20"/>
        </w:rPr>
        <w:t xml:space="preserve">se, and </w:t>
      </w:r>
      <w:r>
        <w:rPr>
          <w:rFonts w:ascii="Arial" w:eastAsia="Arial" w:hAnsi="Arial" w:cs="Arial"/>
          <w:b/>
          <w:i/>
          <w:color w:val="000000"/>
          <w:sz w:val="20"/>
          <w:u w:val="single"/>
        </w:rPr>
        <w:t>how</w:t>
      </w:r>
      <w:r>
        <w:rPr>
          <w:rFonts w:ascii="Arial" w:eastAsia="Arial" w:hAnsi="Arial" w:cs="Arial"/>
          <w:color w:val="000000"/>
          <w:sz w:val="20"/>
        </w:rPr>
        <w:t xml:space="preserve"> defense costs should be divided among </w:t>
      </w:r>
      <w:r>
        <w:rPr>
          <w:rFonts w:ascii="Arial" w:eastAsia="Arial" w:hAnsi="Arial" w:cs="Arial"/>
          <w:b/>
          <w:i/>
          <w:color w:val="000000"/>
          <w:sz w:val="20"/>
          <w:u w:val="single"/>
        </w:rPr>
        <w:t>defending</w:t>
      </w:r>
      <w:r>
        <w:rPr>
          <w:rFonts w:ascii="Arial" w:eastAsia="Arial" w:hAnsi="Arial" w:cs="Arial"/>
          <w:color w:val="000000"/>
          <w:sz w:val="20"/>
        </w:rPr>
        <w:t xml:space="preserve"> insurers seem to be all too common</w:t>
      </w:r>
    </w:p>
    <w:p w14:paraId="1481740B" w14:textId="77777777" w:rsidR="005B512B" w:rsidRDefault="00F032DA">
      <w:pPr>
        <w:spacing w:before="200" w:line="260" w:lineRule="atLeast"/>
        <w:jc w:val="both"/>
      </w:pPr>
      <w:r>
        <w:rPr>
          <w:rFonts w:ascii="Arial" w:eastAsia="Arial" w:hAnsi="Arial" w:cs="Arial"/>
          <w:color w:val="000000"/>
          <w:sz w:val="20"/>
        </w:rPr>
        <w:t xml:space="preserve">Some attorneys believe that a recent decision by the Fourth District Court of Appeal--namely, </w:t>
      </w:r>
      <w:r>
        <w:rPr>
          <w:rFonts w:ascii="Arial" w:eastAsia="Arial" w:hAnsi="Arial" w:cs="Arial"/>
          <w:b/>
          <w:i/>
          <w:color w:val="000000"/>
          <w:sz w:val="20"/>
          <w:u w:val="single"/>
        </w:rPr>
        <w:t>Presley</w:t>
      </w:r>
      <w:r>
        <w:rPr>
          <w:rFonts w:ascii="Arial" w:eastAsia="Arial" w:hAnsi="Arial" w:cs="Arial"/>
          <w:i/>
          <w:color w:val="000000"/>
          <w:sz w:val="20"/>
        </w:rPr>
        <w:t xml:space="preserve"> </w:t>
      </w:r>
      <w:r>
        <w:rPr>
          <w:rFonts w:ascii="Arial" w:eastAsia="Arial" w:hAnsi="Arial" w:cs="Arial"/>
          <w:b/>
          <w:i/>
          <w:color w:val="000000"/>
          <w:sz w:val="20"/>
          <w:u w:val="single"/>
        </w:rPr>
        <w:t>Homes</w:t>
      </w:r>
      <w:r>
        <w:rPr>
          <w:rFonts w:ascii="Arial" w:eastAsia="Arial" w:hAnsi="Arial" w:cs="Arial"/>
          <w:i/>
          <w:color w:val="000000"/>
          <w:sz w:val="20"/>
        </w:rPr>
        <w:t>, Inc.</w:t>
      </w:r>
      <w:r>
        <w:rPr>
          <w:rFonts w:ascii="Arial" w:eastAsia="Arial" w:hAnsi="Arial" w:cs="Arial"/>
          <w:color w:val="000000"/>
          <w:sz w:val="20"/>
        </w:rPr>
        <w:t xml:space="preserve"> v. </w:t>
      </w:r>
      <w:r>
        <w:rPr>
          <w:rFonts w:ascii="Arial" w:eastAsia="Arial" w:hAnsi="Arial" w:cs="Arial"/>
          <w:i/>
          <w:color w:val="000000"/>
          <w:sz w:val="20"/>
        </w:rPr>
        <w:t>American States Insurance Company</w:t>
      </w:r>
      <w:r>
        <w:rPr>
          <w:rFonts w:ascii="Arial" w:eastAsia="Arial" w:hAnsi="Arial" w:cs="Arial"/>
          <w:color w:val="000000"/>
          <w:sz w:val="20"/>
        </w:rPr>
        <w:t xml:space="preserve"> </w:t>
      </w:r>
      <w:r>
        <w:rPr>
          <w:rFonts w:ascii="Arial" w:eastAsia="Arial" w:hAnsi="Arial" w:cs="Arial"/>
          <w:vertAlign w:val="superscript"/>
        </w:rPr>
        <w:footnoteReference w:customMarkFollows="1" w:id="1"/>
        <w:t>1</w:t>
      </w:r>
      <w:r>
        <w:rPr>
          <w:rFonts w:ascii="Arial" w:eastAsia="Arial" w:hAnsi="Arial" w:cs="Arial"/>
          <w:color w:val="000000"/>
          <w:sz w:val="20"/>
        </w:rPr>
        <w:t xml:space="preserve">--promises to radically </w:t>
      </w:r>
      <w:r>
        <w:rPr>
          <w:rFonts w:ascii="Arial" w:eastAsia="Arial" w:hAnsi="Arial" w:cs="Arial"/>
          <w:b/>
          <w:i/>
          <w:color w:val="000000"/>
          <w:sz w:val="20"/>
          <w:u w:val="single"/>
        </w:rPr>
        <w:t>change</w:t>
      </w:r>
      <w:r>
        <w:rPr>
          <w:rFonts w:ascii="Arial" w:eastAsia="Arial" w:hAnsi="Arial" w:cs="Arial"/>
          <w:color w:val="000000"/>
          <w:sz w:val="20"/>
        </w:rPr>
        <w:t xml:space="preserve"> the nature and resolution of disputes regarding the </w:t>
      </w:r>
      <w:r>
        <w:rPr>
          <w:rFonts w:ascii="Arial" w:eastAsia="Arial" w:hAnsi="Arial" w:cs="Arial"/>
          <w:b/>
          <w:i/>
          <w:color w:val="000000"/>
          <w:sz w:val="20"/>
          <w:u w:val="single"/>
        </w:rPr>
        <w:t>duty to defend</w:t>
      </w:r>
      <w:r>
        <w:rPr>
          <w:rFonts w:ascii="Arial" w:eastAsia="Arial" w:hAnsi="Arial" w:cs="Arial"/>
          <w:color w:val="000000"/>
          <w:sz w:val="20"/>
        </w:rPr>
        <w:t xml:space="preserve"> in construction defect cases. And while </w:t>
      </w:r>
      <w:r>
        <w:rPr>
          <w:rFonts w:ascii="Arial" w:eastAsia="Arial" w:hAnsi="Arial" w:cs="Arial"/>
          <w:b/>
          <w:i/>
          <w:color w:val="000000"/>
          <w:sz w:val="20"/>
          <w:u w:val="single"/>
        </w:rPr>
        <w:t>Presley</w:t>
      </w:r>
      <w:r>
        <w:rPr>
          <w:rFonts w:ascii="Arial" w:eastAsia="Arial" w:hAnsi="Arial" w:cs="Arial"/>
          <w:color w:val="000000"/>
          <w:sz w:val="20"/>
        </w:rPr>
        <w:t xml:space="preserve"> can be important in a few situations, for run-of-the-mill construction defect litigation, </w:t>
      </w:r>
      <w:r>
        <w:rPr>
          <w:rFonts w:ascii="Arial" w:eastAsia="Arial" w:hAnsi="Arial" w:cs="Arial"/>
          <w:b/>
          <w:i/>
          <w:color w:val="000000"/>
          <w:sz w:val="20"/>
          <w:u w:val="single"/>
        </w:rPr>
        <w:t>Presley</w:t>
      </w:r>
      <w:r>
        <w:rPr>
          <w:rFonts w:ascii="Arial" w:eastAsia="Arial" w:hAnsi="Arial" w:cs="Arial"/>
          <w:color w:val="000000"/>
          <w:sz w:val="20"/>
        </w:rPr>
        <w:t xml:space="preserve"> did not real</w:t>
      </w:r>
      <w:r>
        <w:rPr>
          <w:rFonts w:ascii="Arial" w:eastAsia="Arial" w:hAnsi="Arial" w:cs="Arial"/>
          <w:color w:val="000000"/>
          <w:sz w:val="20"/>
        </w:rPr>
        <w:t xml:space="preserve">ly </w:t>
      </w:r>
      <w:r>
        <w:rPr>
          <w:rFonts w:ascii="Arial" w:eastAsia="Arial" w:hAnsi="Arial" w:cs="Arial"/>
          <w:b/>
          <w:i/>
          <w:color w:val="000000"/>
          <w:sz w:val="20"/>
          <w:u w:val="single"/>
        </w:rPr>
        <w:t>change</w:t>
      </w:r>
      <w:r>
        <w:rPr>
          <w:rFonts w:ascii="Arial" w:eastAsia="Arial" w:hAnsi="Arial" w:cs="Arial"/>
          <w:color w:val="000000"/>
          <w:sz w:val="20"/>
        </w:rPr>
        <w:t xml:space="preserve"> anything. The same debate that existed before </w:t>
      </w:r>
      <w:r>
        <w:rPr>
          <w:rFonts w:ascii="Arial" w:eastAsia="Arial" w:hAnsi="Arial" w:cs="Arial"/>
          <w:b/>
          <w:i/>
          <w:color w:val="000000"/>
          <w:sz w:val="20"/>
          <w:u w:val="single"/>
        </w:rPr>
        <w:t>Presley</w:t>
      </w:r>
      <w:r>
        <w:rPr>
          <w:rFonts w:ascii="Arial" w:eastAsia="Arial" w:hAnsi="Arial" w:cs="Arial"/>
          <w:color w:val="000000"/>
          <w:sz w:val="20"/>
        </w:rPr>
        <w:t xml:space="preserve"> continues to exist in most construction defect lawsuits.</w:t>
      </w:r>
    </w:p>
    <w:p w14:paraId="454D8D82" w14:textId="77777777" w:rsidR="005B512B" w:rsidRDefault="00F032DA">
      <w:pPr>
        <w:spacing w:before="200" w:line="260" w:lineRule="atLeast"/>
        <w:jc w:val="both"/>
      </w:pPr>
      <w:r>
        <w:rPr>
          <w:rFonts w:ascii="Arial" w:eastAsia="Arial" w:hAnsi="Arial" w:cs="Arial"/>
          <w:color w:val="000000"/>
          <w:sz w:val="20"/>
        </w:rPr>
        <w:t xml:space="preserve">The crux of this debate can be traced back to 1997, when the California Supreme Court announced a "prophylactic" </w:t>
      </w:r>
      <w:r>
        <w:rPr>
          <w:rFonts w:ascii="Arial" w:eastAsia="Arial" w:hAnsi="Arial" w:cs="Arial"/>
          <w:b/>
          <w:i/>
          <w:color w:val="000000"/>
          <w:sz w:val="20"/>
          <w:u w:val="single"/>
        </w:rPr>
        <w:t>duty to defend</w:t>
      </w:r>
      <w:r>
        <w:rPr>
          <w:rFonts w:ascii="Arial" w:eastAsia="Arial" w:hAnsi="Arial" w:cs="Arial"/>
          <w:color w:val="000000"/>
          <w:sz w:val="20"/>
        </w:rPr>
        <w:t xml:space="preserve"> uncover</w:t>
      </w:r>
      <w:r>
        <w:rPr>
          <w:rFonts w:ascii="Arial" w:eastAsia="Arial" w:hAnsi="Arial" w:cs="Arial"/>
          <w:color w:val="000000"/>
          <w:sz w:val="20"/>
        </w:rPr>
        <w:t xml:space="preserve">ed claims in so-called mixed actions. </w:t>
      </w:r>
      <w:r>
        <w:rPr>
          <w:rFonts w:ascii="Arial" w:eastAsia="Arial" w:hAnsi="Arial" w:cs="Arial"/>
          <w:vertAlign w:val="superscript"/>
        </w:rPr>
        <w:footnoteReference w:customMarkFollows="1" w:id="2"/>
        <w:t>2</w:t>
      </w:r>
      <w:r>
        <w:rPr>
          <w:rFonts w:ascii="Arial" w:eastAsia="Arial" w:hAnsi="Arial" w:cs="Arial"/>
          <w:color w:val="000000"/>
          <w:sz w:val="20"/>
        </w:rPr>
        <w:t xml:space="preserve"> In these suits, some causes of action are covered and some are not. Before the 1997 decision--</w:t>
      </w:r>
      <w:r>
        <w:rPr>
          <w:rFonts w:ascii="Arial" w:eastAsia="Arial" w:hAnsi="Arial" w:cs="Arial"/>
          <w:i/>
          <w:color w:val="000000"/>
          <w:sz w:val="20"/>
        </w:rPr>
        <w:t>Buss</w:t>
      </w:r>
      <w:r>
        <w:rPr>
          <w:rFonts w:ascii="Arial" w:eastAsia="Arial" w:hAnsi="Arial" w:cs="Arial"/>
          <w:color w:val="000000"/>
          <w:sz w:val="20"/>
        </w:rPr>
        <w:t xml:space="preserve"> v. </w:t>
      </w:r>
      <w:r>
        <w:rPr>
          <w:rFonts w:ascii="Arial" w:eastAsia="Arial" w:hAnsi="Arial" w:cs="Arial"/>
          <w:i/>
          <w:color w:val="000000"/>
          <w:sz w:val="20"/>
        </w:rPr>
        <w:t>Superior Court</w:t>
      </w:r>
      <w:r>
        <w:rPr>
          <w:rFonts w:ascii="Arial" w:eastAsia="Arial" w:hAnsi="Arial" w:cs="Arial"/>
          <w:color w:val="000000"/>
          <w:sz w:val="20"/>
        </w:rPr>
        <w:t xml:space="preserve">--policyholders and insurers had different ideas about mixed actions. Policyholders argued that the </w:t>
      </w:r>
      <w:r>
        <w:rPr>
          <w:rFonts w:ascii="Arial" w:eastAsia="Arial" w:hAnsi="Arial" w:cs="Arial"/>
          <w:color w:val="000000"/>
          <w:sz w:val="20"/>
        </w:rPr>
        <w:t xml:space="preserve">insurance company had to pay for the defense of all causes of action if any one cause of action was potentially covered under the liability insurance policy. The only way the insurer could avoid paying for the defense of particular causes of action was to </w:t>
      </w:r>
      <w:r>
        <w:rPr>
          <w:rFonts w:ascii="Arial" w:eastAsia="Arial" w:hAnsi="Arial" w:cs="Arial"/>
          <w:color w:val="000000"/>
          <w:sz w:val="20"/>
        </w:rPr>
        <w:t xml:space="preserve">produce "undeniable evidence" showing that specific fees and expenses were allocable only to uncovered causes of action. </w:t>
      </w:r>
      <w:r>
        <w:rPr>
          <w:rFonts w:ascii="Arial" w:eastAsia="Arial" w:hAnsi="Arial" w:cs="Arial"/>
          <w:vertAlign w:val="superscript"/>
        </w:rPr>
        <w:footnoteReference w:customMarkFollows="1" w:id="3"/>
        <w:t>3</w:t>
      </w:r>
      <w:r>
        <w:rPr>
          <w:rFonts w:ascii="Arial" w:eastAsia="Arial" w:hAnsi="Arial" w:cs="Arial"/>
          <w:color w:val="000000"/>
          <w:sz w:val="20"/>
        </w:rPr>
        <w:t xml:space="preserve"> On the other hand, liability insurers argued that the standard of undeniable evidence of allocability applied only in situations in w</w:t>
      </w:r>
      <w:r>
        <w:rPr>
          <w:rFonts w:ascii="Arial" w:eastAsia="Arial" w:hAnsi="Arial" w:cs="Arial"/>
          <w:color w:val="000000"/>
          <w:sz w:val="20"/>
        </w:rPr>
        <w:t xml:space="preserve">hich </w:t>
      </w:r>
      <w:r>
        <w:rPr>
          <w:rFonts w:ascii="Arial" w:eastAsia="Arial" w:hAnsi="Arial" w:cs="Arial"/>
          <w:color w:val="000000"/>
          <w:sz w:val="20"/>
        </w:rPr>
        <w:lastRenderedPageBreak/>
        <w:t xml:space="preserve">the insurer had wrongfully denied its </w:t>
      </w:r>
      <w:r>
        <w:rPr>
          <w:rFonts w:ascii="Arial" w:eastAsia="Arial" w:hAnsi="Arial" w:cs="Arial"/>
          <w:b/>
          <w:i/>
          <w:color w:val="000000"/>
          <w:sz w:val="20"/>
          <w:u w:val="single"/>
        </w:rPr>
        <w:t>duty to defend</w:t>
      </w:r>
      <w:r>
        <w:rPr>
          <w:rFonts w:ascii="Arial" w:eastAsia="Arial" w:hAnsi="Arial" w:cs="Arial"/>
          <w:color w:val="000000"/>
          <w:sz w:val="20"/>
        </w:rPr>
        <w:t xml:space="preserve">. If an insurer </w:t>
      </w:r>
      <w:r>
        <w:rPr>
          <w:rFonts w:ascii="Arial" w:eastAsia="Arial" w:hAnsi="Arial" w:cs="Arial"/>
          <w:b/>
          <w:i/>
          <w:color w:val="000000"/>
          <w:sz w:val="20"/>
          <w:u w:val="single"/>
        </w:rPr>
        <w:t>defended</w:t>
      </w:r>
      <w:r>
        <w:rPr>
          <w:rFonts w:ascii="Arial" w:eastAsia="Arial" w:hAnsi="Arial" w:cs="Arial"/>
          <w:color w:val="000000"/>
          <w:sz w:val="20"/>
        </w:rPr>
        <w:t xml:space="preserve"> or innocently (but mistakenly) denied a request for defense, then a fair allocation of the fees and expenses between the covered and the uncovered causes of action was to be </w:t>
      </w:r>
      <w:r>
        <w:rPr>
          <w:rFonts w:ascii="Arial" w:eastAsia="Arial" w:hAnsi="Arial" w:cs="Arial"/>
          <w:color w:val="000000"/>
          <w:sz w:val="20"/>
        </w:rPr>
        <w:t xml:space="preserve">considered appropriate. </w:t>
      </w:r>
      <w:r>
        <w:rPr>
          <w:rFonts w:ascii="Arial" w:eastAsia="Arial" w:hAnsi="Arial" w:cs="Arial"/>
          <w:vertAlign w:val="superscript"/>
        </w:rPr>
        <w:footnoteReference w:customMarkFollows="1" w:id="4"/>
        <w:t>4</w:t>
      </w:r>
    </w:p>
    <w:p w14:paraId="4B3A80F4" w14:textId="77777777" w:rsidR="005B512B" w:rsidRDefault="00F032DA">
      <w:pPr>
        <w:spacing w:before="200" w:line="260" w:lineRule="atLeast"/>
        <w:jc w:val="both"/>
      </w:pPr>
      <w:r>
        <w:rPr>
          <w:rFonts w:ascii="Arial" w:eastAsia="Arial" w:hAnsi="Arial" w:cs="Arial"/>
          <w:color w:val="000000"/>
          <w:sz w:val="20"/>
        </w:rPr>
        <w:t xml:space="preserve">In resolving this debate, the </w:t>
      </w:r>
      <w:r>
        <w:rPr>
          <w:rFonts w:ascii="Arial" w:eastAsia="Arial" w:hAnsi="Arial" w:cs="Arial"/>
          <w:i/>
          <w:color w:val="000000"/>
          <w:sz w:val="20"/>
        </w:rPr>
        <w:t>Buss</w:t>
      </w:r>
      <w:r>
        <w:rPr>
          <w:rFonts w:ascii="Arial" w:eastAsia="Arial" w:hAnsi="Arial" w:cs="Arial"/>
          <w:color w:val="000000"/>
          <w:sz w:val="20"/>
        </w:rPr>
        <w:t xml:space="preserve"> decision introduced a new concept to California law: the liability insurer's prophylactic </w:t>
      </w:r>
      <w:r>
        <w:rPr>
          <w:rFonts w:ascii="Arial" w:eastAsia="Arial" w:hAnsi="Arial" w:cs="Arial"/>
          <w:b/>
          <w:i/>
          <w:color w:val="000000"/>
          <w:sz w:val="20"/>
          <w:u w:val="single"/>
        </w:rPr>
        <w:t>duty to defend</w:t>
      </w:r>
      <w:r>
        <w:rPr>
          <w:rFonts w:ascii="Arial" w:eastAsia="Arial" w:hAnsi="Arial" w:cs="Arial"/>
          <w:color w:val="000000"/>
          <w:sz w:val="20"/>
        </w:rPr>
        <w:t xml:space="preserve">. The </w:t>
      </w:r>
      <w:r>
        <w:rPr>
          <w:rFonts w:ascii="Arial" w:eastAsia="Arial" w:hAnsi="Arial" w:cs="Arial"/>
          <w:i/>
          <w:color w:val="000000"/>
          <w:sz w:val="20"/>
        </w:rPr>
        <w:t>Buss</w:t>
      </w:r>
      <w:r>
        <w:rPr>
          <w:rFonts w:ascii="Arial" w:eastAsia="Arial" w:hAnsi="Arial" w:cs="Arial"/>
          <w:color w:val="000000"/>
          <w:sz w:val="20"/>
        </w:rPr>
        <w:t xml:space="preserve"> court concluded that it could not justify imposing an obligation to </w:t>
      </w:r>
      <w:r>
        <w:rPr>
          <w:rFonts w:ascii="Arial" w:eastAsia="Arial" w:hAnsi="Arial" w:cs="Arial"/>
          <w:b/>
          <w:i/>
          <w:color w:val="000000"/>
          <w:sz w:val="20"/>
          <w:u w:val="single"/>
        </w:rPr>
        <w:t>defend</w:t>
      </w:r>
      <w:r>
        <w:rPr>
          <w:rFonts w:ascii="Arial" w:eastAsia="Arial" w:hAnsi="Arial" w:cs="Arial"/>
          <w:color w:val="000000"/>
          <w:sz w:val="20"/>
        </w:rPr>
        <w:t xml:space="preserve"> uncov</w:t>
      </w:r>
      <w:r>
        <w:rPr>
          <w:rFonts w:ascii="Arial" w:eastAsia="Arial" w:hAnsi="Arial" w:cs="Arial"/>
          <w:color w:val="000000"/>
          <w:sz w:val="20"/>
        </w:rPr>
        <w:t xml:space="preserve">ered causes of action in mixed lawsuits that was based on policy language alone. </w:t>
      </w:r>
      <w:r>
        <w:rPr>
          <w:rFonts w:ascii="Arial" w:eastAsia="Arial" w:hAnsi="Arial" w:cs="Arial"/>
          <w:vertAlign w:val="superscript"/>
        </w:rPr>
        <w:footnoteReference w:customMarkFollows="1" w:id="5"/>
        <w:t>5</w:t>
      </w:r>
      <w:r>
        <w:rPr>
          <w:rFonts w:ascii="Arial" w:eastAsia="Arial" w:hAnsi="Arial" w:cs="Arial"/>
          <w:color w:val="000000"/>
          <w:sz w:val="20"/>
        </w:rPr>
        <w:t xml:space="preserve"> The policy merely obligates the insurer to </w:t>
      </w:r>
      <w:r>
        <w:rPr>
          <w:rFonts w:ascii="Arial" w:eastAsia="Arial" w:hAnsi="Arial" w:cs="Arial"/>
          <w:b/>
          <w:i/>
          <w:color w:val="000000"/>
          <w:sz w:val="20"/>
          <w:u w:val="single"/>
        </w:rPr>
        <w:t>defend</w:t>
      </w:r>
      <w:r>
        <w:rPr>
          <w:rFonts w:ascii="Arial" w:eastAsia="Arial" w:hAnsi="Arial" w:cs="Arial"/>
          <w:color w:val="000000"/>
          <w:sz w:val="20"/>
        </w:rPr>
        <w:t xml:space="preserve"> those causes of action that are potentially covered and nothing more. But the </w:t>
      </w:r>
      <w:r>
        <w:rPr>
          <w:rFonts w:ascii="Arial" w:eastAsia="Arial" w:hAnsi="Arial" w:cs="Arial"/>
          <w:i/>
          <w:color w:val="000000"/>
          <w:sz w:val="20"/>
        </w:rPr>
        <w:t>Buss</w:t>
      </w:r>
      <w:r>
        <w:rPr>
          <w:rFonts w:ascii="Arial" w:eastAsia="Arial" w:hAnsi="Arial" w:cs="Arial"/>
          <w:color w:val="000000"/>
          <w:sz w:val="20"/>
        </w:rPr>
        <w:t xml:space="preserve"> court also held that the law imposes on </w:t>
      </w:r>
      <w:r>
        <w:rPr>
          <w:rFonts w:ascii="Arial" w:eastAsia="Arial" w:hAnsi="Arial" w:cs="Arial"/>
          <w:color w:val="000000"/>
          <w:sz w:val="20"/>
        </w:rPr>
        <w:t xml:space="preserve">insurers a prophylactic </w:t>
      </w:r>
      <w:r>
        <w:rPr>
          <w:rFonts w:ascii="Arial" w:eastAsia="Arial" w:hAnsi="Arial" w:cs="Arial"/>
          <w:b/>
          <w:i/>
          <w:color w:val="000000"/>
          <w:sz w:val="20"/>
          <w:u w:val="single"/>
        </w:rPr>
        <w:t>duty to defend</w:t>
      </w:r>
      <w:r>
        <w:rPr>
          <w:rFonts w:ascii="Arial" w:eastAsia="Arial" w:hAnsi="Arial" w:cs="Arial"/>
          <w:color w:val="000000"/>
          <w:sz w:val="20"/>
        </w:rPr>
        <w:t xml:space="preserve"> the entire lawsuit, including causes of action that are not even potentially covered, if the lawsuit includes some covered and some uncovered causes of action. </w:t>
      </w:r>
      <w:r>
        <w:rPr>
          <w:rFonts w:ascii="Arial" w:eastAsia="Arial" w:hAnsi="Arial" w:cs="Arial"/>
          <w:vertAlign w:val="superscript"/>
        </w:rPr>
        <w:footnoteReference w:customMarkFollows="1" w:id="6"/>
        <w:t>6</w:t>
      </w:r>
      <w:r>
        <w:rPr>
          <w:rFonts w:ascii="Arial" w:eastAsia="Arial" w:hAnsi="Arial" w:cs="Arial"/>
          <w:color w:val="000000"/>
          <w:sz w:val="20"/>
        </w:rPr>
        <w:t xml:space="preserve"> According to </w:t>
      </w:r>
      <w:r>
        <w:rPr>
          <w:rFonts w:ascii="Arial" w:eastAsia="Arial" w:hAnsi="Arial" w:cs="Arial"/>
          <w:i/>
          <w:color w:val="000000"/>
          <w:sz w:val="20"/>
        </w:rPr>
        <w:t>Buss</w:t>
      </w:r>
      <w:r>
        <w:rPr>
          <w:rFonts w:ascii="Arial" w:eastAsia="Arial" w:hAnsi="Arial" w:cs="Arial"/>
          <w:color w:val="000000"/>
          <w:sz w:val="20"/>
        </w:rPr>
        <w:t xml:space="preserve">, the law imposes this prophylactic </w:t>
      </w:r>
      <w:r>
        <w:rPr>
          <w:rFonts w:ascii="Arial" w:eastAsia="Arial" w:hAnsi="Arial" w:cs="Arial"/>
          <w:b/>
          <w:i/>
          <w:color w:val="000000"/>
          <w:sz w:val="20"/>
          <w:u w:val="single"/>
        </w:rPr>
        <w:t>du</w:t>
      </w:r>
      <w:r>
        <w:rPr>
          <w:rFonts w:ascii="Arial" w:eastAsia="Arial" w:hAnsi="Arial" w:cs="Arial"/>
          <w:b/>
          <w:i/>
          <w:color w:val="000000"/>
          <w:sz w:val="20"/>
          <w:u w:val="single"/>
        </w:rPr>
        <w:t>ty</w:t>
      </w:r>
      <w:r>
        <w:rPr>
          <w:rFonts w:ascii="Arial" w:eastAsia="Arial" w:hAnsi="Arial" w:cs="Arial"/>
          <w:color w:val="000000"/>
          <w:sz w:val="20"/>
        </w:rPr>
        <w:t xml:space="preserve"> to protect policy-holders from the hardship that would result if certain causes of action were not </w:t>
      </w:r>
      <w:r>
        <w:rPr>
          <w:rFonts w:ascii="Arial" w:eastAsia="Arial" w:hAnsi="Arial" w:cs="Arial"/>
          <w:b/>
          <w:i/>
          <w:color w:val="000000"/>
          <w:sz w:val="20"/>
          <w:u w:val="single"/>
        </w:rPr>
        <w:t>defended</w:t>
      </w:r>
      <w:r>
        <w:rPr>
          <w:rFonts w:ascii="Arial" w:eastAsia="Arial" w:hAnsi="Arial" w:cs="Arial"/>
          <w:color w:val="000000"/>
          <w:sz w:val="20"/>
        </w:rPr>
        <w:t xml:space="preserve"> at all. </w:t>
      </w:r>
      <w:r>
        <w:rPr>
          <w:rFonts w:ascii="Arial" w:eastAsia="Arial" w:hAnsi="Arial" w:cs="Arial"/>
          <w:vertAlign w:val="superscript"/>
        </w:rPr>
        <w:footnoteReference w:customMarkFollows="1" w:id="7"/>
        <w:t>7</w:t>
      </w:r>
    </w:p>
    <w:p w14:paraId="1E71EA7B" w14:textId="77777777" w:rsidR="005B512B" w:rsidRDefault="00F032DA">
      <w:pPr>
        <w:spacing w:before="200" w:line="260" w:lineRule="atLeast"/>
        <w:jc w:val="both"/>
      </w:pPr>
      <w:r>
        <w:rPr>
          <w:rFonts w:ascii="Arial" w:eastAsia="Arial" w:hAnsi="Arial" w:cs="Arial"/>
          <w:i/>
          <w:color w:val="000000"/>
          <w:sz w:val="20"/>
        </w:rPr>
        <w:t>Buss</w:t>
      </w:r>
      <w:r>
        <w:rPr>
          <w:rFonts w:ascii="Arial" w:eastAsia="Arial" w:hAnsi="Arial" w:cs="Arial"/>
          <w:color w:val="000000"/>
          <w:sz w:val="20"/>
        </w:rPr>
        <w:t xml:space="preserve"> emphasized that the prophylactic </w:t>
      </w:r>
      <w:r>
        <w:rPr>
          <w:rFonts w:ascii="Arial" w:eastAsia="Arial" w:hAnsi="Arial" w:cs="Arial"/>
          <w:b/>
          <w:i/>
          <w:color w:val="000000"/>
          <w:sz w:val="20"/>
          <w:u w:val="single"/>
        </w:rPr>
        <w:t>duty to defend</w:t>
      </w:r>
      <w:r>
        <w:rPr>
          <w:rFonts w:ascii="Arial" w:eastAsia="Arial" w:hAnsi="Arial" w:cs="Arial"/>
          <w:color w:val="000000"/>
          <w:sz w:val="20"/>
        </w:rPr>
        <w:t xml:space="preserve"> uncovered claims differs substantially from a true contractual </w:t>
      </w:r>
      <w:r>
        <w:rPr>
          <w:rFonts w:ascii="Arial" w:eastAsia="Arial" w:hAnsi="Arial" w:cs="Arial"/>
          <w:b/>
          <w:i/>
          <w:color w:val="000000"/>
          <w:sz w:val="20"/>
          <w:u w:val="single"/>
        </w:rPr>
        <w:t>duty to defend</w:t>
      </w:r>
      <w:r>
        <w:rPr>
          <w:rFonts w:ascii="Arial" w:eastAsia="Arial" w:hAnsi="Arial" w:cs="Arial"/>
          <w:color w:val="000000"/>
          <w:sz w:val="20"/>
        </w:rPr>
        <w:t xml:space="preserve"> claims that are in fact potentially covered. The contractual </w:t>
      </w:r>
      <w:r>
        <w:rPr>
          <w:rFonts w:ascii="Arial" w:eastAsia="Arial" w:hAnsi="Arial" w:cs="Arial"/>
          <w:b/>
          <w:i/>
          <w:color w:val="000000"/>
          <w:sz w:val="20"/>
          <w:u w:val="single"/>
        </w:rPr>
        <w:t>duty to defend</w:t>
      </w:r>
      <w:r>
        <w:rPr>
          <w:rFonts w:ascii="Arial" w:eastAsia="Arial" w:hAnsi="Arial" w:cs="Arial"/>
          <w:color w:val="000000"/>
          <w:sz w:val="20"/>
        </w:rPr>
        <w:t xml:space="preserve"> is a true </w:t>
      </w:r>
      <w:r>
        <w:rPr>
          <w:rFonts w:ascii="Arial" w:eastAsia="Arial" w:hAnsi="Arial" w:cs="Arial"/>
          <w:b/>
          <w:i/>
          <w:color w:val="000000"/>
          <w:sz w:val="20"/>
          <w:u w:val="single"/>
        </w:rPr>
        <w:t>duty</w:t>
      </w:r>
      <w:r>
        <w:rPr>
          <w:rFonts w:ascii="Arial" w:eastAsia="Arial" w:hAnsi="Arial" w:cs="Arial"/>
          <w:color w:val="000000"/>
          <w:sz w:val="20"/>
        </w:rPr>
        <w:t xml:space="preserve"> that exists for all purposes. When a cause of action is potentially covered under a liability insurance policy, the insurer has to fund the insured's defense agains</w:t>
      </w:r>
      <w:r>
        <w:rPr>
          <w:rFonts w:ascii="Arial" w:eastAsia="Arial" w:hAnsi="Arial" w:cs="Arial"/>
          <w:color w:val="000000"/>
          <w:sz w:val="20"/>
        </w:rPr>
        <w:t>t the third party's claim. In this situation, the insurer is not entitled to reimbursement, even if it turns out that the third party is unable to prove the claim, and even if actual coverage never develops.</w:t>
      </w:r>
    </w:p>
    <w:p w14:paraId="133D425C" w14:textId="77777777" w:rsidR="005B512B" w:rsidRDefault="00F032DA">
      <w:pPr>
        <w:spacing w:before="200" w:line="260" w:lineRule="atLeast"/>
        <w:jc w:val="both"/>
      </w:pPr>
      <w:r>
        <w:rPr>
          <w:rFonts w:ascii="Arial" w:eastAsia="Arial" w:hAnsi="Arial" w:cs="Arial"/>
          <w:color w:val="000000"/>
          <w:sz w:val="20"/>
        </w:rPr>
        <w:t>In sharp contrast, the prophylactic, or protecti</w:t>
      </w:r>
      <w:r>
        <w:rPr>
          <w:rFonts w:ascii="Arial" w:eastAsia="Arial" w:hAnsi="Arial" w:cs="Arial"/>
          <w:color w:val="000000"/>
          <w:sz w:val="20"/>
        </w:rPr>
        <w:t xml:space="preserve">ve, </w:t>
      </w:r>
      <w:r>
        <w:rPr>
          <w:rFonts w:ascii="Arial" w:eastAsia="Arial" w:hAnsi="Arial" w:cs="Arial"/>
          <w:b/>
          <w:i/>
          <w:color w:val="000000"/>
          <w:sz w:val="20"/>
          <w:u w:val="single"/>
        </w:rPr>
        <w:t>duty to defend</w:t>
      </w:r>
      <w:r>
        <w:rPr>
          <w:rFonts w:ascii="Arial" w:eastAsia="Arial" w:hAnsi="Arial" w:cs="Arial"/>
          <w:color w:val="000000"/>
          <w:sz w:val="20"/>
        </w:rPr>
        <w:t xml:space="preserve"> can be ephemeral. When necessary to protect against the hardships that would exist if defense attorneys refused to mount any defense to uncovered claims, the insurer with a prophylactic </w:t>
      </w:r>
      <w:r>
        <w:rPr>
          <w:rFonts w:ascii="Arial" w:eastAsia="Arial" w:hAnsi="Arial" w:cs="Arial"/>
          <w:b/>
          <w:i/>
          <w:color w:val="000000"/>
          <w:sz w:val="20"/>
          <w:u w:val="single"/>
        </w:rPr>
        <w:t>duty to defend</w:t>
      </w:r>
      <w:r>
        <w:rPr>
          <w:rFonts w:ascii="Arial" w:eastAsia="Arial" w:hAnsi="Arial" w:cs="Arial"/>
          <w:color w:val="000000"/>
          <w:sz w:val="20"/>
        </w:rPr>
        <w:t xml:space="preserve"> must front legal fees and expenses i</w:t>
      </w:r>
      <w:r>
        <w:rPr>
          <w:rFonts w:ascii="Arial" w:eastAsia="Arial" w:hAnsi="Arial" w:cs="Arial"/>
          <w:color w:val="000000"/>
          <w:sz w:val="20"/>
        </w:rPr>
        <w:t xml:space="preserve">ncurred to </w:t>
      </w:r>
      <w:r>
        <w:rPr>
          <w:rFonts w:ascii="Arial" w:eastAsia="Arial" w:hAnsi="Arial" w:cs="Arial"/>
          <w:b/>
          <w:i/>
          <w:color w:val="000000"/>
          <w:sz w:val="20"/>
          <w:u w:val="single"/>
        </w:rPr>
        <w:t>defend</w:t>
      </w:r>
      <w:r>
        <w:rPr>
          <w:rFonts w:ascii="Arial" w:eastAsia="Arial" w:hAnsi="Arial" w:cs="Arial"/>
          <w:color w:val="000000"/>
          <w:sz w:val="20"/>
        </w:rPr>
        <w:t xml:space="preserve"> claims that are not potentially covered, as long as at least one cause of action is potentially covered. However, the insurer that provides a prophylactic defense of uncovered causes of action is entitled to seek reimbursement at the conc</w:t>
      </w:r>
      <w:r>
        <w:rPr>
          <w:rFonts w:ascii="Arial" w:eastAsia="Arial" w:hAnsi="Arial" w:cs="Arial"/>
          <w:color w:val="000000"/>
          <w:sz w:val="20"/>
        </w:rPr>
        <w:t xml:space="preserve">lusion of the litigation. </w:t>
      </w:r>
      <w:r>
        <w:rPr>
          <w:rFonts w:ascii="Arial" w:eastAsia="Arial" w:hAnsi="Arial" w:cs="Arial"/>
          <w:vertAlign w:val="superscript"/>
        </w:rPr>
        <w:footnoteReference w:customMarkFollows="1" w:id="8"/>
        <w:t>8</w:t>
      </w:r>
      <w:r>
        <w:rPr>
          <w:rFonts w:ascii="Arial" w:eastAsia="Arial" w:hAnsi="Arial" w:cs="Arial"/>
          <w:color w:val="000000"/>
          <w:sz w:val="20"/>
        </w:rPr>
        <w:t xml:space="preserve"> The insurer has to show that certain fees and expenses are solely allocable to uncovered causes of action. The burden of proof for the insurer is merely a preponderance of evidence. </w:t>
      </w:r>
      <w:r>
        <w:rPr>
          <w:rFonts w:ascii="Arial" w:eastAsia="Arial" w:hAnsi="Arial" w:cs="Arial"/>
          <w:vertAlign w:val="superscript"/>
        </w:rPr>
        <w:footnoteReference w:customMarkFollows="1" w:id="9"/>
        <w:t>9</w:t>
      </w:r>
    </w:p>
    <w:p w14:paraId="30277673" w14:textId="77777777" w:rsidR="005B512B" w:rsidRDefault="00F032DA">
      <w:pPr>
        <w:spacing w:before="200" w:line="260" w:lineRule="atLeast"/>
        <w:jc w:val="both"/>
      </w:pPr>
      <w:r>
        <w:rPr>
          <w:rFonts w:ascii="Arial" w:eastAsia="Arial" w:hAnsi="Arial" w:cs="Arial"/>
          <w:b/>
          <w:color w:val="000000"/>
          <w:sz w:val="20"/>
        </w:rPr>
        <w:t xml:space="preserve">The </w:t>
      </w:r>
      <w:r>
        <w:rPr>
          <w:rFonts w:ascii="Arial" w:eastAsia="Arial" w:hAnsi="Arial" w:cs="Arial"/>
          <w:b/>
          <w:i/>
          <w:color w:val="000000"/>
          <w:sz w:val="20"/>
          <w:u w:val="single"/>
        </w:rPr>
        <w:t>Duty to Defend</w:t>
      </w:r>
    </w:p>
    <w:p w14:paraId="74F7E800" w14:textId="77777777" w:rsidR="005B512B" w:rsidRDefault="00F032DA">
      <w:pPr>
        <w:spacing w:before="200" w:line="260" w:lineRule="atLeast"/>
        <w:jc w:val="both"/>
      </w:pPr>
      <w:r>
        <w:rPr>
          <w:rFonts w:ascii="Arial" w:eastAsia="Arial" w:hAnsi="Arial" w:cs="Arial"/>
          <w:b/>
          <w:i/>
          <w:color w:val="000000"/>
          <w:sz w:val="20"/>
          <w:u w:val="single"/>
        </w:rPr>
        <w:t>Presley</w:t>
      </w:r>
      <w:r>
        <w:rPr>
          <w:rFonts w:ascii="Arial" w:eastAsia="Arial" w:hAnsi="Arial" w:cs="Arial"/>
          <w:color w:val="000000"/>
          <w:sz w:val="20"/>
        </w:rPr>
        <w:t xml:space="preserve"> is important, but</w:t>
      </w:r>
      <w:r>
        <w:rPr>
          <w:rFonts w:ascii="Arial" w:eastAsia="Arial" w:hAnsi="Arial" w:cs="Arial"/>
          <w:color w:val="000000"/>
          <w:sz w:val="20"/>
        </w:rPr>
        <w:t xml:space="preserve"> only because the decision applies the prophylactic </w:t>
      </w:r>
      <w:r>
        <w:rPr>
          <w:rFonts w:ascii="Arial" w:eastAsia="Arial" w:hAnsi="Arial" w:cs="Arial"/>
          <w:b/>
          <w:i/>
          <w:color w:val="000000"/>
          <w:sz w:val="20"/>
          <w:u w:val="single"/>
        </w:rPr>
        <w:t>duty to defend</w:t>
      </w:r>
      <w:r>
        <w:rPr>
          <w:rFonts w:ascii="Arial" w:eastAsia="Arial" w:hAnsi="Arial" w:cs="Arial"/>
          <w:color w:val="000000"/>
          <w:sz w:val="20"/>
        </w:rPr>
        <w:t xml:space="preserve"> as established in </w:t>
      </w:r>
      <w:r>
        <w:rPr>
          <w:rFonts w:ascii="Arial" w:eastAsia="Arial" w:hAnsi="Arial" w:cs="Arial"/>
          <w:i/>
          <w:color w:val="000000"/>
          <w:sz w:val="20"/>
        </w:rPr>
        <w:t>Buss</w:t>
      </w:r>
      <w:r>
        <w:rPr>
          <w:rFonts w:ascii="Arial" w:eastAsia="Arial" w:hAnsi="Arial" w:cs="Arial"/>
          <w:color w:val="000000"/>
          <w:sz w:val="20"/>
        </w:rPr>
        <w:t xml:space="preserve"> to additional insured carriers in the construction defect context. </w:t>
      </w:r>
      <w:r>
        <w:rPr>
          <w:rFonts w:ascii="Arial" w:eastAsia="Arial" w:hAnsi="Arial" w:cs="Arial"/>
          <w:vertAlign w:val="superscript"/>
        </w:rPr>
        <w:footnoteReference w:customMarkFollows="1" w:id="10"/>
        <w:t>10</w:t>
      </w:r>
      <w:r>
        <w:rPr>
          <w:rFonts w:ascii="Arial" w:eastAsia="Arial" w:hAnsi="Arial" w:cs="Arial"/>
          <w:color w:val="000000"/>
          <w:sz w:val="20"/>
        </w:rPr>
        <w:t xml:space="preserve"> Developers who build residential housing typically require the subcontractors who do the constru</w:t>
      </w:r>
      <w:r>
        <w:rPr>
          <w:rFonts w:ascii="Arial" w:eastAsia="Arial" w:hAnsi="Arial" w:cs="Arial"/>
          <w:color w:val="000000"/>
          <w:sz w:val="20"/>
        </w:rPr>
        <w:t>ction work to have their own liability insurance policies. The developers and general contractors also usually require subcontractors to make sure that their insurance policies name the developers as additional insureds. Most commonly, developers are added</w:t>
      </w:r>
      <w:r>
        <w:rPr>
          <w:rFonts w:ascii="Arial" w:eastAsia="Arial" w:hAnsi="Arial" w:cs="Arial"/>
          <w:color w:val="000000"/>
          <w:sz w:val="20"/>
        </w:rPr>
        <w:t xml:space="preserve"> by an endorsement that essentially says that they will be treated as insureds, but only with respect to liability arising from the work performed by the named insured subcontractor.</w:t>
      </w:r>
    </w:p>
    <w:p w14:paraId="658C3A1D" w14:textId="77777777" w:rsidR="005B512B" w:rsidRDefault="00F032DA">
      <w:pPr>
        <w:spacing w:before="200" w:line="260" w:lineRule="atLeast"/>
        <w:jc w:val="both"/>
      </w:pPr>
      <w:r>
        <w:rPr>
          <w:rFonts w:ascii="Arial" w:eastAsia="Arial" w:hAnsi="Arial" w:cs="Arial"/>
          <w:color w:val="000000"/>
          <w:sz w:val="20"/>
        </w:rPr>
        <w:lastRenderedPageBreak/>
        <w:t>Since construction defect lawsuits often involve numerous alleged defects</w:t>
      </w:r>
      <w:r>
        <w:rPr>
          <w:rFonts w:ascii="Arial" w:eastAsia="Arial" w:hAnsi="Arial" w:cs="Arial"/>
          <w:color w:val="000000"/>
          <w:sz w:val="20"/>
        </w:rPr>
        <w:t xml:space="preserve">, large groups of damages that might be alleged against a developer can have nothing whatsoever to do with issues that have been alleged against a particular subcontractor. </w:t>
      </w:r>
      <w:r>
        <w:rPr>
          <w:rFonts w:ascii="Arial" w:eastAsia="Arial" w:hAnsi="Arial" w:cs="Arial"/>
          <w:b/>
          <w:color w:val="000000"/>
          <w:sz w:val="20"/>
        </w:rPr>
        <w:t> [*18] </w:t>
      </w:r>
      <w:r>
        <w:rPr>
          <w:rFonts w:ascii="Arial" w:eastAsia="Arial" w:hAnsi="Arial" w:cs="Arial"/>
          <w:color w:val="000000"/>
          <w:sz w:val="20"/>
        </w:rPr>
        <w:t xml:space="preserve"> As a result, the additional insured coverage afforded under a particular su</w:t>
      </w:r>
      <w:r>
        <w:rPr>
          <w:rFonts w:ascii="Arial" w:eastAsia="Arial" w:hAnsi="Arial" w:cs="Arial"/>
          <w:color w:val="000000"/>
          <w:sz w:val="20"/>
        </w:rPr>
        <w:t>bcontractor's policy might provide coverage for only a very small percentage of the overall construction defect lawsuit.</w:t>
      </w:r>
    </w:p>
    <w:p w14:paraId="4F9E5CF3" w14:textId="77777777" w:rsidR="005B512B" w:rsidRDefault="00F032DA">
      <w:pPr>
        <w:spacing w:before="200" w:line="260" w:lineRule="atLeast"/>
        <w:jc w:val="both"/>
      </w:pPr>
      <w:r>
        <w:rPr>
          <w:rFonts w:ascii="Arial" w:eastAsia="Arial" w:hAnsi="Arial" w:cs="Arial"/>
          <w:b/>
          <w:i/>
          <w:color w:val="000000"/>
          <w:sz w:val="20"/>
          <w:u w:val="single"/>
        </w:rPr>
        <w:t>Presley</w:t>
      </w:r>
      <w:r>
        <w:rPr>
          <w:rFonts w:ascii="Arial" w:eastAsia="Arial" w:hAnsi="Arial" w:cs="Arial"/>
          <w:color w:val="000000"/>
          <w:sz w:val="20"/>
        </w:rPr>
        <w:t xml:space="preserve"> apparently involved an ordinary construction project. American States insured two of the subcontractors that worked on the proj</w:t>
      </w:r>
      <w:r>
        <w:rPr>
          <w:rFonts w:ascii="Arial" w:eastAsia="Arial" w:hAnsi="Arial" w:cs="Arial"/>
          <w:color w:val="000000"/>
          <w:sz w:val="20"/>
        </w:rPr>
        <w:t xml:space="preserve">ect. One subcontractor installed concrete foundations, driveways, walkways, and stoops. The other purchased lumber and did rough carpentry work. Both subcontractors had their policies endorsed to make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an additional insured. Each policy limite</w:t>
      </w:r>
      <w:r>
        <w:rPr>
          <w:rFonts w:ascii="Arial" w:eastAsia="Arial" w:hAnsi="Arial" w:cs="Arial"/>
          <w:color w:val="000000"/>
          <w:sz w:val="20"/>
        </w:rPr>
        <w:t xml:space="preserve">d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's coverage to certain liabilities arising out of the named insured subcontractor's work. </w:t>
      </w:r>
      <w:r>
        <w:rPr>
          <w:rFonts w:ascii="Arial" w:eastAsia="Arial" w:hAnsi="Arial" w:cs="Arial"/>
          <w:vertAlign w:val="superscript"/>
        </w:rPr>
        <w:footnoteReference w:customMarkFollows="1" w:id="11"/>
        <w:t>11</w:t>
      </w:r>
    </w:p>
    <w:p w14:paraId="0960BE22" w14:textId="77777777" w:rsidR="005B512B" w:rsidRDefault="00F032DA">
      <w:pPr>
        <w:spacing w:before="200" w:line="260" w:lineRule="atLeast"/>
        <w:jc w:val="both"/>
      </w:pP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and American States could not agree on the defense obligation.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said American States had an obligation to provide a full </w:t>
      </w:r>
      <w:r>
        <w:rPr>
          <w:rFonts w:ascii="Arial" w:eastAsia="Arial" w:hAnsi="Arial" w:cs="Arial"/>
          <w:color w:val="000000"/>
          <w:sz w:val="20"/>
        </w:rPr>
        <w:t xml:space="preserve">and complete defense, but American States argued that it only had a </w:t>
      </w:r>
      <w:r>
        <w:rPr>
          <w:rFonts w:ascii="Arial" w:eastAsia="Arial" w:hAnsi="Arial" w:cs="Arial"/>
          <w:b/>
          <w:i/>
          <w:color w:val="000000"/>
          <w:sz w:val="20"/>
          <w:u w:val="single"/>
        </w:rPr>
        <w:t>duty to defend</w:t>
      </w:r>
      <w:r>
        <w:rPr>
          <w:rFonts w:ascii="Arial" w:eastAsia="Arial" w:hAnsi="Arial" w:cs="Arial"/>
          <w:color w:val="000000"/>
          <w:sz w:val="20"/>
        </w:rPr>
        <w:t xml:space="preserve"> claims relating to its named insured subcontractors' work. American States offered to retain a separate lawyer who would represent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with respect to framing issues. American States also talked about the idea of contributing a certain percentage to the overall defense costs. Ultimately, however,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and American States could not agree, and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filed suit.</w:t>
      </w:r>
    </w:p>
    <w:p w14:paraId="5F6AC862" w14:textId="77777777" w:rsidR="005B512B" w:rsidRDefault="00F032DA">
      <w:pPr>
        <w:spacing w:before="200" w:line="260" w:lineRule="atLeast"/>
        <w:jc w:val="both"/>
      </w:pPr>
      <w:r>
        <w:rPr>
          <w:rFonts w:ascii="Arial" w:eastAsia="Arial" w:hAnsi="Arial" w:cs="Arial"/>
          <w:color w:val="000000"/>
          <w:sz w:val="20"/>
        </w:rPr>
        <w:t>On cross mo</w:t>
      </w:r>
      <w:r>
        <w:rPr>
          <w:rFonts w:ascii="Arial" w:eastAsia="Arial" w:hAnsi="Arial" w:cs="Arial"/>
          <w:color w:val="000000"/>
          <w:sz w:val="20"/>
        </w:rPr>
        <w:t xml:space="preserve">tions for summary adjudication,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asked the court to rule that American States owed a 100 percent defense obligation. American States asked the court to rule that it did not owe a 100 percent defense obligation. The trial court ruled in favor o</w:t>
      </w:r>
      <w:r>
        <w:rPr>
          <w:rFonts w:ascii="Arial" w:eastAsia="Arial" w:hAnsi="Arial" w:cs="Arial"/>
          <w:color w:val="000000"/>
          <w:sz w:val="20"/>
        </w:rPr>
        <w:t xml:space="preserve">f American States, finding that its defense obligation was limited. </w:t>
      </w:r>
      <w:r>
        <w:rPr>
          <w:rFonts w:ascii="Arial" w:eastAsia="Arial" w:hAnsi="Arial" w:cs="Arial"/>
          <w:vertAlign w:val="superscript"/>
        </w:rPr>
        <w:footnoteReference w:customMarkFollows="1" w:id="12"/>
        <w:t>12</w:t>
      </w:r>
      <w:r>
        <w:rPr>
          <w:rFonts w:ascii="Arial" w:eastAsia="Arial" w:hAnsi="Arial" w:cs="Arial"/>
          <w:color w:val="000000"/>
          <w:sz w:val="20"/>
        </w:rPr>
        <w:t xml:space="preserve"> The appellate court reversed, holding that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"did incur legal expenses in </w:t>
      </w:r>
      <w:r>
        <w:rPr>
          <w:rFonts w:ascii="Arial" w:eastAsia="Arial" w:hAnsi="Arial" w:cs="Arial"/>
          <w:b/>
          <w:i/>
          <w:color w:val="000000"/>
          <w:sz w:val="20"/>
          <w:u w:val="single"/>
        </w:rPr>
        <w:t>defending</w:t>
      </w:r>
      <w:r>
        <w:rPr>
          <w:rFonts w:ascii="Arial" w:eastAsia="Arial" w:hAnsi="Arial" w:cs="Arial"/>
          <w:color w:val="000000"/>
          <w:sz w:val="20"/>
        </w:rPr>
        <w:t xml:space="preserve"> against the [construction defect] suit." </w:t>
      </w:r>
      <w:r>
        <w:rPr>
          <w:rFonts w:ascii="Arial" w:eastAsia="Arial" w:hAnsi="Arial" w:cs="Arial"/>
          <w:vertAlign w:val="superscript"/>
        </w:rPr>
        <w:footnoteReference w:customMarkFollows="1" w:id="13"/>
        <w:t>13</w:t>
      </w:r>
      <w:r>
        <w:rPr>
          <w:rFonts w:ascii="Arial" w:eastAsia="Arial" w:hAnsi="Arial" w:cs="Arial"/>
          <w:color w:val="000000"/>
          <w:sz w:val="20"/>
        </w:rPr>
        <w:t xml:space="preserve"> This sentence shows that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was no</w:t>
      </w:r>
      <w:r>
        <w:rPr>
          <w:rFonts w:ascii="Arial" w:eastAsia="Arial" w:hAnsi="Arial" w:cs="Arial"/>
          <w:color w:val="000000"/>
          <w:sz w:val="20"/>
        </w:rPr>
        <w:t xml:space="preserve">t being fully </w:t>
      </w:r>
      <w:r>
        <w:rPr>
          <w:rFonts w:ascii="Arial" w:eastAsia="Arial" w:hAnsi="Arial" w:cs="Arial"/>
          <w:b/>
          <w:i/>
          <w:color w:val="000000"/>
          <w:sz w:val="20"/>
          <w:u w:val="single"/>
        </w:rPr>
        <w:t>defended</w:t>
      </w:r>
      <w:r>
        <w:rPr>
          <w:rFonts w:ascii="Arial" w:eastAsia="Arial" w:hAnsi="Arial" w:cs="Arial"/>
          <w:color w:val="000000"/>
          <w:sz w:val="20"/>
        </w:rPr>
        <w:t xml:space="preserve"> by any other insurer (or group of insurers) when American States was trying to negotiate a partial defense. Since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was not being fully </w:t>
      </w:r>
      <w:r>
        <w:rPr>
          <w:rFonts w:ascii="Arial" w:eastAsia="Arial" w:hAnsi="Arial" w:cs="Arial"/>
          <w:b/>
          <w:i/>
          <w:color w:val="000000"/>
          <w:sz w:val="20"/>
          <w:u w:val="single"/>
        </w:rPr>
        <w:t>defended</w:t>
      </w:r>
      <w:r>
        <w:rPr>
          <w:rFonts w:ascii="Arial" w:eastAsia="Arial" w:hAnsi="Arial" w:cs="Arial"/>
          <w:color w:val="000000"/>
          <w:sz w:val="20"/>
        </w:rPr>
        <w:t xml:space="preserve"> by anyone else, all the court of appeal had to do was apply </w:t>
      </w:r>
      <w:r>
        <w:rPr>
          <w:rFonts w:ascii="Arial" w:eastAsia="Arial" w:hAnsi="Arial" w:cs="Arial"/>
          <w:i/>
          <w:color w:val="000000"/>
          <w:sz w:val="20"/>
        </w:rPr>
        <w:t>Buss</w:t>
      </w:r>
      <w:r>
        <w:rPr>
          <w:rFonts w:ascii="Arial" w:eastAsia="Arial" w:hAnsi="Arial" w:cs="Arial"/>
          <w:color w:val="000000"/>
          <w:sz w:val="20"/>
        </w:rPr>
        <w:t>--and that i</w:t>
      </w:r>
      <w:r>
        <w:rPr>
          <w:rFonts w:ascii="Arial" w:eastAsia="Arial" w:hAnsi="Arial" w:cs="Arial"/>
          <w:color w:val="000000"/>
          <w:sz w:val="20"/>
        </w:rPr>
        <w:t>s exactly what it did.</w:t>
      </w:r>
    </w:p>
    <w:p w14:paraId="1E9653FC" w14:textId="77777777" w:rsidR="005B512B" w:rsidRDefault="00F032DA">
      <w:pPr>
        <w:spacing w:before="200" w:line="260" w:lineRule="atLeast"/>
        <w:jc w:val="both"/>
      </w:pPr>
      <w:r>
        <w:rPr>
          <w:rFonts w:ascii="Arial" w:eastAsia="Arial" w:hAnsi="Arial" w:cs="Arial"/>
          <w:color w:val="000000"/>
          <w:sz w:val="20"/>
        </w:rPr>
        <w:t xml:space="preserve">Although </w:t>
      </w:r>
      <w:r>
        <w:rPr>
          <w:rFonts w:ascii="Arial" w:eastAsia="Arial" w:hAnsi="Arial" w:cs="Arial"/>
          <w:b/>
          <w:i/>
          <w:color w:val="000000"/>
          <w:sz w:val="20"/>
          <w:u w:val="single"/>
        </w:rPr>
        <w:t>Presley</w:t>
      </w:r>
      <w:r>
        <w:rPr>
          <w:rFonts w:ascii="Arial" w:eastAsia="Arial" w:hAnsi="Arial" w:cs="Arial"/>
          <w:color w:val="000000"/>
          <w:sz w:val="20"/>
        </w:rPr>
        <w:t xml:space="preserve"> has generated quite a commotion in construction defect litigation circles, the appellate result represents no great departure from previously existing law. The appellate court in </w:t>
      </w:r>
      <w:r>
        <w:rPr>
          <w:rFonts w:ascii="Arial" w:eastAsia="Arial" w:hAnsi="Arial" w:cs="Arial"/>
          <w:b/>
          <w:i/>
          <w:color w:val="000000"/>
          <w:sz w:val="20"/>
          <w:u w:val="single"/>
        </w:rPr>
        <w:t>Presley</w:t>
      </w:r>
      <w:r>
        <w:rPr>
          <w:rFonts w:ascii="Arial" w:eastAsia="Arial" w:hAnsi="Arial" w:cs="Arial"/>
          <w:color w:val="000000"/>
          <w:sz w:val="20"/>
        </w:rPr>
        <w:t xml:space="preserve"> said that it rejected America</w:t>
      </w:r>
      <w:r>
        <w:rPr>
          <w:rFonts w:ascii="Arial" w:eastAsia="Arial" w:hAnsi="Arial" w:cs="Arial"/>
          <w:color w:val="000000"/>
          <w:sz w:val="20"/>
        </w:rPr>
        <w:t xml:space="preserve">n States' argument "because an insurer's </w:t>
      </w:r>
      <w:r>
        <w:rPr>
          <w:rFonts w:ascii="Arial" w:eastAsia="Arial" w:hAnsi="Arial" w:cs="Arial"/>
          <w:b/>
          <w:i/>
          <w:color w:val="000000"/>
          <w:sz w:val="20"/>
          <w:u w:val="single"/>
        </w:rPr>
        <w:t>duty to defend</w:t>
      </w:r>
      <w:r>
        <w:rPr>
          <w:rFonts w:ascii="Arial" w:eastAsia="Arial" w:hAnsi="Arial" w:cs="Arial"/>
          <w:color w:val="000000"/>
          <w:sz w:val="20"/>
        </w:rPr>
        <w:t xml:space="preserve"> the entire action is based on public policy, not the terms of the party's contract." </w:t>
      </w:r>
      <w:r>
        <w:rPr>
          <w:rFonts w:ascii="Arial" w:eastAsia="Arial" w:hAnsi="Arial" w:cs="Arial"/>
          <w:vertAlign w:val="superscript"/>
        </w:rPr>
        <w:footnoteReference w:customMarkFollows="1" w:id="14"/>
        <w:t>14</w:t>
      </w:r>
      <w:r>
        <w:rPr>
          <w:rFonts w:ascii="Arial" w:eastAsia="Arial" w:hAnsi="Arial" w:cs="Arial"/>
          <w:color w:val="000000"/>
          <w:sz w:val="20"/>
        </w:rPr>
        <w:t xml:space="preserve"> Then the court cited and quoted extensively from </w:t>
      </w:r>
      <w:r>
        <w:rPr>
          <w:rFonts w:ascii="Arial" w:eastAsia="Arial" w:hAnsi="Arial" w:cs="Arial"/>
          <w:i/>
          <w:color w:val="000000"/>
          <w:sz w:val="20"/>
        </w:rPr>
        <w:t>Buss</w:t>
      </w:r>
      <w:r>
        <w:rPr>
          <w:rFonts w:ascii="Arial" w:eastAsia="Arial" w:hAnsi="Arial" w:cs="Arial"/>
          <w:color w:val="000000"/>
          <w:sz w:val="20"/>
        </w:rPr>
        <w:t>, noting: "The delay in providing a defense while the parti</w:t>
      </w:r>
      <w:r>
        <w:rPr>
          <w:rFonts w:ascii="Arial" w:eastAsia="Arial" w:hAnsi="Arial" w:cs="Arial"/>
          <w:color w:val="000000"/>
          <w:sz w:val="20"/>
        </w:rPr>
        <w:t xml:space="preserve">es attempted to reach a mutually acceptable percentage, highlights the very reason the Supreme Court requires an insurer to provide a complete defense even where the underlying lawsuit includes both covered and uncovered claims." </w:t>
      </w:r>
      <w:r>
        <w:rPr>
          <w:rFonts w:ascii="Arial" w:eastAsia="Arial" w:hAnsi="Arial" w:cs="Arial"/>
          <w:vertAlign w:val="superscript"/>
        </w:rPr>
        <w:footnoteReference w:customMarkFollows="1" w:id="15"/>
        <w:t>15</w:t>
      </w:r>
    </w:p>
    <w:p w14:paraId="0820B21B" w14:textId="77777777" w:rsidR="005B512B" w:rsidRDefault="00F032DA">
      <w:pPr>
        <w:spacing w:before="200" w:line="260" w:lineRule="atLeast"/>
        <w:jc w:val="both"/>
      </w:pPr>
      <w:r>
        <w:rPr>
          <w:rFonts w:ascii="Arial" w:eastAsia="Arial" w:hAnsi="Arial" w:cs="Arial"/>
          <w:color w:val="000000"/>
          <w:sz w:val="20"/>
        </w:rPr>
        <w:t>Although American State</w:t>
      </w:r>
      <w:r>
        <w:rPr>
          <w:rFonts w:ascii="Arial" w:eastAsia="Arial" w:hAnsi="Arial" w:cs="Arial"/>
          <w:color w:val="000000"/>
          <w:sz w:val="20"/>
        </w:rPr>
        <w:t xml:space="preserve">s could correctly point out that its named insured subcontractors' work represented a relatively small percentage of the defects that were at issue in the lawsuit against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this was not enough to distinguish </w:t>
      </w:r>
      <w:r>
        <w:rPr>
          <w:rFonts w:ascii="Arial" w:eastAsia="Arial" w:hAnsi="Arial" w:cs="Arial"/>
          <w:i/>
          <w:color w:val="000000"/>
          <w:sz w:val="20"/>
        </w:rPr>
        <w:t>Buss</w:t>
      </w:r>
      <w:r>
        <w:rPr>
          <w:rFonts w:ascii="Arial" w:eastAsia="Arial" w:hAnsi="Arial" w:cs="Arial"/>
          <w:color w:val="000000"/>
          <w:sz w:val="20"/>
        </w:rPr>
        <w:t xml:space="preserve">. After all, in </w:t>
      </w:r>
      <w:r>
        <w:rPr>
          <w:rFonts w:ascii="Arial" w:eastAsia="Arial" w:hAnsi="Arial" w:cs="Arial"/>
          <w:i/>
          <w:color w:val="000000"/>
          <w:sz w:val="20"/>
        </w:rPr>
        <w:t>Buss</w:t>
      </w:r>
      <w:r>
        <w:rPr>
          <w:rFonts w:ascii="Arial" w:eastAsia="Arial" w:hAnsi="Arial" w:cs="Arial"/>
          <w:color w:val="000000"/>
          <w:sz w:val="20"/>
        </w:rPr>
        <w:t xml:space="preserve">, the California Supreme Court ruled that Transamerica had a </w:t>
      </w:r>
      <w:r>
        <w:rPr>
          <w:rFonts w:ascii="Arial" w:eastAsia="Arial" w:hAnsi="Arial" w:cs="Arial"/>
          <w:b/>
          <w:i/>
          <w:color w:val="000000"/>
          <w:sz w:val="20"/>
          <w:u w:val="single"/>
        </w:rPr>
        <w:t>duty to defend</w:t>
      </w:r>
      <w:r>
        <w:rPr>
          <w:rFonts w:ascii="Arial" w:eastAsia="Arial" w:hAnsi="Arial" w:cs="Arial"/>
          <w:color w:val="000000"/>
          <w:sz w:val="20"/>
        </w:rPr>
        <w:t xml:space="preserve"> the entire lawsuit even though only one of 27 separate causes of action was potentially covered under Transamerica's policy. </w:t>
      </w:r>
      <w:r>
        <w:rPr>
          <w:rFonts w:ascii="Arial" w:eastAsia="Arial" w:hAnsi="Arial" w:cs="Arial"/>
          <w:vertAlign w:val="superscript"/>
        </w:rPr>
        <w:footnoteReference w:customMarkFollows="1" w:id="16"/>
        <w:t>16</w:t>
      </w:r>
    </w:p>
    <w:p w14:paraId="695D7B31" w14:textId="77777777" w:rsidR="005B512B" w:rsidRDefault="00F032DA">
      <w:pPr>
        <w:spacing w:before="200" w:line="260" w:lineRule="atLeast"/>
        <w:jc w:val="both"/>
      </w:pPr>
      <w:r>
        <w:rPr>
          <w:rFonts w:ascii="Arial" w:eastAsia="Arial" w:hAnsi="Arial" w:cs="Arial"/>
          <w:b/>
          <w:color w:val="000000"/>
          <w:sz w:val="20"/>
        </w:rPr>
        <w:lastRenderedPageBreak/>
        <w:t>One Full Defense</w:t>
      </w:r>
    </w:p>
    <w:p w14:paraId="424BE848" w14:textId="77777777" w:rsidR="005B512B" w:rsidRDefault="00F032DA">
      <w:pPr>
        <w:spacing w:before="200" w:line="260" w:lineRule="atLeast"/>
        <w:jc w:val="both"/>
      </w:pPr>
      <w:r>
        <w:rPr>
          <w:rFonts w:ascii="Arial" w:eastAsia="Arial" w:hAnsi="Arial" w:cs="Arial"/>
          <w:color w:val="000000"/>
          <w:sz w:val="20"/>
        </w:rPr>
        <w:t xml:space="preserve">The prophylactic </w:t>
      </w:r>
      <w:r>
        <w:rPr>
          <w:rFonts w:ascii="Arial" w:eastAsia="Arial" w:hAnsi="Arial" w:cs="Arial"/>
          <w:b/>
          <w:i/>
          <w:color w:val="000000"/>
          <w:sz w:val="20"/>
          <w:u w:val="single"/>
        </w:rPr>
        <w:t>duty to defend</w:t>
      </w:r>
      <w:r>
        <w:rPr>
          <w:rFonts w:ascii="Arial" w:eastAsia="Arial" w:hAnsi="Arial" w:cs="Arial"/>
          <w:color w:val="000000"/>
          <w:sz w:val="20"/>
        </w:rPr>
        <w:t xml:space="preserve"> is </w:t>
      </w:r>
      <w:r>
        <w:rPr>
          <w:rFonts w:ascii="Arial" w:eastAsia="Arial" w:hAnsi="Arial" w:cs="Arial"/>
          <w:color w:val="000000"/>
          <w:sz w:val="20"/>
        </w:rPr>
        <w:t xml:space="preserve">not implicated if some other insurer is already providing a full defense. To be sure, neither </w:t>
      </w:r>
      <w:r>
        <w:rPr>
          <w:rFonts w:ascii="Arial" w:eastAsia="Arial" w:hAnsi="Arial" w:cs="Arial"/>
          <w:i/>
          <w:color w:val="000000"/>
          <w:sz w:val="20"/>
        </w:rPr>
        <w:t>Buss</w:t>
      </w:r>
      <w:r>
        <w:rPr>
          <w:rFonts w:ascii="Arial" w:eastAsia="Arial" w:hAnsi="Arial" w:cs="Arial"/>
          <w:color w:val="000000"/>
          <w:sz w:val="20"/>
        </w:rPr>
        <w:t xml:space="preserve"> nor </w:t>
      </w:r>
      <w:r>
        <w:rPr>
          <w:rFonts w:ascii="Arial" w:eastAsia="Arial" w:hAnsi="Arial" w:cs="Arial"/>
          <w:b/>
          <w:i/>
          <w:color w:val="000000"/>
          <w:sz w:val="20"/>
          <w:u w:val="single"/>
        </w:rPr>
        <w:t>Presley</w:t>
      </w:r>
      <w:r>
        <w:rPr>
          <w:rFonts w:ascii="Arial" w:eastAsia="Arial" w:hAnsi="Arial" w:cs="Arial"/>
          <w:color w:val="000000"/>
          <w:sz w:val="20"/>
        </w:rPr>
        <w:t xml:space="preserve"> expressly says so; however, the rationale behind the imposition of a prophylactic </w:t>
      </w:r>
      <w:r>
        <w:rPr>
          <w:rFonts w:ascii="Arial" w:eastAsia="Arial" w:hAnsi="Arial" w:cs="Arial"/>
          <w:b/>
          <w:i/>
          <w:color w:val="000000"/>
          <w:sz w:val="20"/>
          <w:u w:val="single"/>
        </w:rPr>
        <w:t>duty to defend</w:t>
      </w:r>
      <w:r>
        <w:rPr>
          <w:rFonts w:ascii="Arial" w:eastAsia="Arial" w:hAnsi="Arial" w:cs="Arial"/>
          <w:color w:val="000000"/>
          <w:sz w:val="20"/>
        </w:rPr>
        <w:t xml:space="preserve"> uncovered claims evaporates if some other insura</w:t>
      </w:r>
      <w:r>
        <w:rPr>
          <w:rFonts w:ascii="Arial" w:eastAsia="Arial" w:hAnsi="Arial" w:cs="Arial"/>
          <w:color w:val="000000"/>
          <w:sz w:val="20"/>
        </w:rPr>
        <w:t xml:space="preserve">nce company is already funding a full defense. The law imposes a prophylactic </w:t>
      </w:r>
      <w:r>
        <w:rPr>
          <w:rFonts w:ascii="Arial" w:eastAsia="Arial" w:hAnsi="Arial" w:cs="Arial"/>
          <w:b/>
          <w:i/>
          <w:color w:val="000000"/>
          <w:sz w:val="20"/>
          <w:u w:val="single"/>
        </w:rPr>
        <w:t>duty to defend</w:t>
      </w:r>
      <w:r>
        <w:rPr>
          <w:rFonts w:ascii="Arial" w:eastAsia="Arial" w:hAnsi="Arial" w:cs="Arial"/>
          <w:color w:val="000000"/>
          <w:sz w:val="20"/>
        </w:rPr>
        <w:t xml:space="preserve"> uncovered claims to prevent situations in which an attorney works vigorously to </w:t>
      </w:r>
      <w:r>
        <w:rPr>
          <w:rFonts w:ascii="Arial" w:eastAsia="Arial" w:hAnsi="Arial" w:cs="Arial"/>
          <w:b/>
          <w:i/>
          <w:color w:val="000000"/>
          <w:sz w:val="20"/>
          <w:u w:val="single"/>
        </w:rPr>
        <w:t>defend</w:t>
      </w:r>
      <w:r>
        <w:rPr>
          <w:rFonts w:ascii="Arial" w:eastAsia="Arial" w:hAnsi="Arial" w:cs="Arial"/>
          <w:color w:val="000000"/>
          <w:sz w:val="20"/>
        </w:rPr>
        <w:t xml:space="preserve"> the covered causes of action and not at all to </w:t>
      </w:r>
      <w:r>
        <w:rPr>
          <w:rFonts w:ascii="Arial" w:eastAsia="Arial" w:hAnsi="Arial" w:cs="Arial"/>
          <w:b/>
          <w:i/>
          <w:color w:val="000000"/>
          <w:sz w:val="20"/>
          <w:u w:val="single"/>
        </w:rPr>
        <w:t>defend</w:t>
      </w:r>
      <w:r>
        <w:rPr>
          <w:rFonts w:ascii="Arial" w:eastAsia="Arial" w:hAnsi="Arial" w:cs="Arial"/>
          <w:color w:val="000000"/>
          <w:sz w:val="20"/>
        </w:rPr>
        <w:t xml:space="preserve"> the remaining uncovere</w:t>
      </w:r>
      <w:r>
        <w:rPr>
          <w:rFonts w:ascii="Arial" w:eastAsia="Arial" w:hAnsi="Arial" w:cs="Arial"/>
          <w:color w:val="000000"/>
          <w:sz w:val="20"/>
        </w:rPr>
        <w:t>d causes of action.</w:t>
      </w:r>
    </w:p>
    <w:p w14:paraId="751AF80E" w14:textId="77777777" w:rsidR="005B512B" w:rsidRDefault="00F032DA">
      <w:pPr>
        <w:spacing w:before="200" w:line="260" w:lineRule="atLeast"/>
        <w:jc w:val="both"/>
      </w:pPr>
      <w:r>
        <w:rPr>
          <w:rFonts w:ascii="Arial" w:eastAsia="Arial" w:hAnsi="Arial" w:cs="Arial"/>
          <w:color w:val="000000"/>
          <w:sz w:val="20"/>
        </w:rPr>
        <w:t>But policyholders are only entitled to one insurer-funded defense, not several. And this is particularly true in construction defect litigation, in which one developer may request a defense from 20 or more different insurance companies.</w:t>
      </w:r>
      <w:r>
        <w:rPr>
          <w:rFonts w:ascii="Arial" w:eastAsia="Arial" w:hAnsi="Arial" w:cs="Arial"/>
          <w:color w:val="000000"/>
          <w:sz w:val="20"/>
        </w:rPr>
        <w:t xml:space="preserve"> Once a policyholder receives a full defense from a particular insurer, another insurer's failure to </w:t>
      </w:r>
      <w:r>
        <w:rPr>
          <w:rFonts w:ascii="Arial" w:eastAsia="Arial" w:hAnsi="Arial" w:cs="Arial"/>
          <w:b/>
          <w:i/>
          <w:color w:val="000000"/>
          <w:sz w:val="20"/>
          <w:u w:val="single"/>
        </w:rPr>
        <w:t>defend</w:t>
      </w:r>
      <w:r>
        <w:rPr>
          <w:rFonts w:ascii="Arial" w:eastAsia="Arial" w:hAnsi="Arial" w:cs="Arial"/>
          <w:color w:val="000000"/>
          <w:sz w:val="20"/>
        </w:rPr>
        <w:t xml:space="preserve"> is not actionable and has no consequences for the policyholder. For example, in </w:t>
      </w:r>
      <w:r>
        <w:rPr>
          <w:rFonts w:ascii="Arial" w:eastAsia="Arial" w:hAnsi="Arial" w:cs="Arial"/>
          <w:i/>
          <w:color w:val="000000"/>
          <w:sz w:val="20"/>
        </w:rPr>
        <w:t>Ceresino</w:t>
      </w:r>
      <w:r>
        <w:rPr>
          <w:rFonts w:ascii="Arial" w:eastAsia="Arial" w:hAnsi="Arial" w:cs="Arial"/>
          <w:color w:val="000000"/>
          <w:sz w:val="20"/>
        </w:rPr>
        <w:t xml:space="preserve"> v. </w:t>
      </w:r>
      <w:r>
        <w:rPr>
          <w:rFonts w:ascii="Arial" w:eastAsia="Arial" w:hAnsi="Arial" w:cs="Arial"/>
          <w:i/>
          <w:color w:val="000000"/>
          <w:sz w:val="20"/>
        </w:rPr>
        <w:t>Fire Insurance Exchange</w:t>
      </w:r>
      <w:r>
        <w:rPr>
          <w:rFonts w:ascii="Arial" w:eastAsia="Arial" w:hAnsi="Arial" w:cs="Arial"/>
          <w:color w:val="000000"/>
          <w:sz w:val="20"/>
        </w:rPr>
        <w:t xml:space="preserve">, </w:t>
      </w:r>
      <w:r>
        <w:rPr>
          <w:rFonts w:ascii="Arial" w:eastAsia="Arial" w:hAnsi="Arial" w:cs="Arial"/>
          <w:vertAlign w:val="superscript"/>
        </w:rPr>
        <w:footnoteReference w:customMarkFollows="1" w:id="17"/>
        <w:t>17</w:t>
      </w:r>
      <w:r>
        <w:rPr>
          <w:rFonts w:ascii="Arial" w:eastAsia="Arial" w:hAnsi="Arial" w:cs="Arial"/>
          <w:color w:val="000000"/>
          <w:sz w:val="20"/>
        </w:rPr>
        <w:t xml:space="preserve"> the court drew a distinction</w:t>
      </w:r>
      <w:r>
        <w:rPr>
          <w:rFonts w:ascii="Arial" w:eastAsia="Arial" w:hAnsi="Arial" w:cs="Arial"/>
          <w:color w:val="000000"/>
          <w:sz w:val="20"/>
        </w:rPr>
        <w:t xml:space="preserve"> between situations in which an insurer's failure to </w:t>
      </w:r>
      <w:r>
        <w:rPr>
          <w:rFonts w:ascii="Arial" w:eastAsia="Arial" w:hAnsi="Arial" w:cs="Arial"/>
          <w:b/>
          <w:i/>
          <w:color w:val="000000"/>
          <w:sz w:val="20"/>
          <w:u w:val="single"/>
        </w:rPr>
        <w:t>defend</w:t>
      </w:r>
      <w:r>
        <w:rPr>
          <w:rFonts w:ascii="Arial" w:eastAsia="Arial" w:hAnsi="Arial" w:cs="Arial"/>
          <w:color w:val="000000"/>
          <w:sz w:val="20"/>
        </w:rPr>
        <w:t xml:space="preserve"> left the policyholder defenseless and situations in which the failure to </w:t>
      </w:r>
      <w:r>
        <w:rPr>
          <w:rFonts w:ascii="Arial" w:eastAsia="Arial" w:hAnsi="Arial" w:cs="Arial"/>
          <w:b/>
          <w:i/>
          <w:color w:val="000000"/>
          <w:sz w:val="20"/>
          <w:u w:val="single"/>
        </w:rPr>
        <w:t>defend</w:t>
      </w:r>
      <w:r>
        <w:rPr>
          <w:rFonts w:ascii="Arial" w:eastAsia="Arial" w:hAnsi="Arial" w:cs="Arial"/>
          <w:color w:val="000000"/>
          <w:sz w:val="20"/>
        </w:rPr>
        <w:t xml:space="preserve"> was far less meaningful because some other insurer was already fully </w:t>
      </w:r>
      <w:r>
        <w:rPr>
          <w:rFonts w:ascii="Arial" w:eastAsia="Arial" w:hAnsi="Arial" w:cs="Arial"/>
          <w:b/>
          <w:i/>
          <w:color w:val="000000"/>
          <w:sz w:val="20"/>
          <w:u w:val="single"/>
        </w:rPr>
        <w:t>defending</w:t>
      </w:r>
      <w:r>
        <w:rPr>
          <w:rFonts w:ascii="Arial" w:eastAsia="Arial" w:hAnsi="Arial" w:cs="Arial"/>
          <w:color w:val="000000"/>
          <w:sz w:val="20"/>
        </w:rPr>
        <w:t>.</w:t>
      </w:r>
    </w:p>
    <w:p w14:paraId="26AB327D" w14:textId="77777777" w:rsidR="005B512B" w:rsidRDefault="00F032DA">
      <w:pPr>
        <w:spacing w:before="200" w:line="260" w:lineRule="atLeast"/>
        <w:jc w:val="both"/>
      </w:pPr>
      <w:r>
        <w:rPr>
          <w:rFonts w:ascii="Arial" w:eastAsia="Arial" w:hAnsi="Arial" w:cs="Arial"/>
          <w:color w:val="000000"/>
          <w:sz w:val="20"/>
        </w:rPr>
        <w:t xml:space="preserve">Explaining its reasoning, the court </w:t>
      </w:r>
      <w:r>
        <w:rPr>
          <w:rFonts w:ascii="Arial" w:eastAsia="Arial" w:hAnsi="Arial" w:cs="Arial"/>
          <w:color w:val="000000"/>
          <w:sz w:val="20"/>
        </w:rPr>
        <w:t>noted:</w:t>
      </w:r>
    </w:p>
    <w:p w14:paraId="10BCB390" w14:textId="77777777" w:rsidR="005B512B" w:rsidRDefault="00F032DA">
      <w:pPr>
        <w:spacing w:before="200" w:line="260" w:lineRule="atLeast"/>
        <w:ind w:left="400"/>
        <w:jc w:val="both"/>
      </w:pPr>
      <w:r>
        <w:rPr>
          <w:rFonts w:ascii="Arial" w:eastAsia="Arial" w:hAnsi="Arial" w:cs="Arial"/>
          <w:color w:val="000000"/>
          <w:sz w:val="20"/>
        </w:rPr>
        <w:t xml:space="preserve">But Ceresino did not face that danger--his representation was undertaken by his other insurance company. Farmers' failure to </w:t>
      </w:r>
      <w:r>
        <w:rPr>
          <w:rFonts w:ascii="Arial" w:eastAsia="Arial" w:hAnsi="Arial" w:cs="Arial"/>
          <w:b/>
          <w:i/>
          <w:color w:val="000000"/>
          <w:sz w:val="20"/>
          <w:u w:val="single"/>
        </w:rPr>
        <w:t>defend</w:t>
      </w:r>
      <w:r>
        <w:rPr>
          <w:rFonts w:ascii="Arial" w:eastAsia="Arial" w:hAnsi="Arial" w:cs="Arial"/>
          <w:color w:val="000000"/>
          <w:sz w:val="20"/>
        </w:rPr>
        <w:t xml:space="preserve"> was of no consequence except to Commercial Union, which requested Farmers pay for half the defense. </w:t>
      </w:r>
      <w:r>
        <w:rPr>
          <w:rFonts w:ascii="Arial" w:eastAsia="Arial" w:hAnsi="Arial" w:cs="Arial"/>
          <w:vertAlign w:val="superscript"/>
        </w:rPr>
        <w:footnoteReference w:customMarkFollows="1" w:id="18"/>
        <w:t>18</w:t>
      </w:r>
    </w:p>
    <w:p w14:paraId="32416019" w14:textId="77777777" w:rsidR="005B512B" w:rsidRDefault="00F032DA">
      <w:pPr>
        <w:spacing w:before="200" w:line="260" w:lineRule="atLeast"/>
        <w:jc w:val="both"/>
      </w:pPr>
      <w:r>
        <w:rPr>
          <w:rFonts w:ascii="Arial" w:eastAsia="Arial" w:hAnsi="Arial" w:cs="Arial"/>
          <w:color w:val="000000"/>
          <w:sz w:val="20"/>
        </w:rPr>
        <w:t xml:space="preserve">In </w:t>
      </w:r>
      <w:r>
        <w:rPr>
          <w:rFonts w:ascii="Arial" w:eastAsia="Arial" w:hAnsi="Arial" w:cs="Arial"/>
          <w:i/>
          <w:color w:val="000000"/>
          <w:sz w:val="20"/>
        </w:rPr>
        <w:t>Ringler Ass</w:t>
      </w:r>
      <w:r>
        <w:rPr>
          <w:rFonts w:ascii="Arial" w:eastAsia="Arial" w:hAnsi="Arial" w:cs="Arial"/>
          <w:i/>
          <w:color w:val="000000"/>
          <w:sz w:val="20"/>
        </w:rPr>
        <w:t>ociates, Inc.</w:t>
      </w:r>
      <w:r>
        <w:rPr>
          <w:rFonts w:ascii="Arial" w:eastAsia="Arial" w:hAnsi="Arial" w:cs="Arial"/>
          <w:color w:val="000000"/>
          <w:sz w:val="20"/>
        </w:rPr>
        <w:t xml:space="preserve"> v. </w:t>
      </w:r>
      <w:r>
        <w:rPr>
          <w:rFonts w:ascii="Arial" w:eastAsia="Arial" w:hAnsi="Arial" w:cs="Arial"/>
          <w:i/>
          <w:color w:val="000000"/>
          <w:sz w:val="20"/>
        </w:rPr>
        <w:t>Maryland Casualty Company</w:t>
      </w:r>
      <w:r>
        <w:rPr>
          <w:rFonts w:ascii="Arial" w:eastAsia="Arial" w:hAnsi="Arial" w:cs="Arial"/>
          <w:color w:val="000000"/>
          <w:sz w:val="20"/>
        </w:rPr>
        <w:t xml:space="preserve">, </w:t>
      </w:r>
      <w:r>
        <w:rPr>
          <w:rFonts w:ascii="Arial" w:eastAsia="Arial" w:hAnsi="Arial" w:cs="Arial"/>
          <w:vertAlign w:val="superscript"/>
        </w:rPr>
        <w:footnoteReference w:customMarkFollows="1" w:id="19"/>
        <w:t>19</w:t>
      </w:r>
      <w:r>
        <w:rPr>
          <w:rFonts w:ascii="Arial" w:eastAsia="Arial" w:hAnsi="Arial" w:cs="Arial"/>
          <w:color w:val="000000"/>
          <w:sz w:val="20"/>
        </w:rPr>
        <w:t xml:space="preserve"> the court held that it would not have allowed a policyholder to collect damages from the insurer who failed to </w:t>
      </w:r>
      <w:r>
        <w:rPr>
          <w:rFonts w:ascii="Arial" w:eastAsia="Arial" w:hAnsi="Arial" w:cs="Arial"/>
          <w:b/>
          <w:i/>
          <w:color w:val="000000"/>
          <w:sz w:val="20"/>
          <w:u w:val="single"/>
        </w:rPr>
        <w:t>defend</w:t>
      </w:r>
      <w:r>
        <w:rPr>
          <w:rFonts w:ascii="Arial" w:eastAsia="Arial" w:hAnsi="Arial" w:cs="Arial"/>
          <w:color w:val="000000"/>
          <w:sz w:val="20"/>
        </w:rPr>
        <w:t xml:space="preserve">, even if the insurer had a </w:t>
      </w:r>
      <w:r>
        <w:rPr>
          <w:rFonts w:ascii="Arial" w:eastAsia="Arial" w:hAnsi="Arial" w:cs="Arial"/>
          <w:b/>
          <w:i/>
          <w:color w:val="000000"/>
          <w:sz w:val="20"/>
          <w:u w:val="single"/>
        </w:rPr>
        <w:t>duty to defend</w:t>
      </w:r>
      <w:r>
        <w:rPr>
          <w:rFonts w:ascii="Arial" w:eastAsia="Arial" w:hAnsi="Arial" w:cs="Arial"/>
          <w:color w:val="000000"/>
          <w:sz w:val="20"/>
        </w:rPr>
        <w:t xml:space="preserve">. After explaining that the basic measure of damages is the amount required to compensate the policyholder for harm caused by the insurer's breach of the </w:t>
      </w:r>
      <w:r>
        <w:rPr>
          <w:rFonts w:ascii="Arial" w:eastAsia="Arial" w:hAnsi="Arial" w:cs="Arial"/>
          <w:b/>
          <w:i/>
          <w:color w:val="000000"/>
          <w:sz w:val="20"/>
          <w:u w:val="single"/>
        </w:rPr>
        <w:t>duty to defend</w:t>
      </w:r>
      <w:r>
        <w:rPr>
          <w:rFonts w:ascii="Arial" w:eastAsia="Arial" w:hAnsi="Arial" w:cs="Arial"/>
          <w:color w:val="000000"/>
          <w:sz w:val="20"/>
        </w:rPr>
        <w:t>, the court noted:</w:t>
      </w:r>
    </w:p>
    <w:p w14:paraId="11106F2F" w14:textId="77777777" w:rsidR="005B512B" w:rsidRDefault="00F032DA">
      <w:pPr>
        <w:spacing w:before="200" w:line="260" w:lineRule="atLeast"/>
        <w:ind w:left="400"/>
        <w:jc w:val="both"/>
      </w:pPr>
      <w:r>
        <w:rPr>
          <w:rFonts w:ascii="Arial" w:eastAsia="Arial" w:hAnsi="Arial" w:cs="Arial"/>
          <w:color w:val="000000"/>
          <w:sz w:val="20"/>
        </w:rPr>
        <w:t xml:space="preserve">Ringler suffered no liability in excess of the Policy limits; nor was it compelled to or unable to </w:t>
      </w:r>
      <w:r>
        <w:rPr>
          <w:rFonts w:ascii="Arial" w:eastAsia="Arial" w:hAnsi="Arial" w:cs="Arial"/>
          <w:b/>
          <w:i/>
          <w:color w:val="000000"/>
          <w:sz w:val="20"/>
          <w:u w:val="single"/>
        </w:rPr>
        <w:t>defend</w:t>
      </w:r>
      <w:r>
        <w:rPr>
          <w:rFonts w:ascii="Arial" w:eastAsia="Arial" w:hAnsi="Arial" w:cs="Arial"/>
          <w:color w:val="000000"/>
          <w:sz w:val="20"/>
        </w:rPr>
        <w:t xml:space="preserve"> itself. Instead, as Ringler implicitly acknowledges, it was fully protected from having to pay any costs of its own defense by other insurers who were</w:t>
      </w:r>
      <w:r>
        <w:rPr>
          <w:rFonts w:ascii="Arial" w:eastAsia="Arial" w:hAnsi="Arial" w:cs="Arial"/>
          <w:color w:val="000000"/>
          <w:sz w:val="20"/>
        </w:rPr>
        <w:t xml:space="preserve"> on the risk when Ringler allegedly first slandered the plaintiffs… </w:t>
      </w:r>
      <w:r>
        <w:rPr>
          <w:rFonts w:ascii="Arial" w:eastAsia="Arial" w:hAnsi="Arial" w:cs="Arial"/>
          <w:vertAlign w:val="superscript"/>
        </w:rPr>
        <w:footnoteReference w:customMarkFollows="1" w:id="20"/>
        <w:t>20</w:t>
      </w:r>
    </w:p>
    <w:p w14:paraId="3E861838" w14:textId="77777777" w:rsidR="005B512B" w:rsidRDefault="00F032DA">
      <w:pPr>
        <w:spacing w:before="200" w:line="260" w:lineRule="atLeast"/>
        <w:jc w:val="both"/>
      </w:pPr>
      <w:r>
        <w:rPr>
          <w:rFonts w:ascii="Arial" w:eastAsia="Arial" w:hAnsi="Arial" w:cs="Arial"/>
          <w:color w:val="000000"/>
          <w:sz w:val="20"/>
        </w:rPr>
        <w:t xml:space="preserve">Another case, </w:t>
      </w:r>
      <w:r>
        <w:rPr>
          <w:rFonts w:ascii="Arial" w:eastAsia="Arial" w:hAnsi="Arial" w:cs="Arial"/>
          <w:i/>
          <w:color w:val="000000"/>
          <w:sz w:val="20"/>
        </w:rPr>
        <w:t>National Union Fire Insurance Company</w:t>
      </w:r>
      <w:r>
        <w:rPr>
          <w:rFonts w:ascii="Arial" w:eastAsia="Arial" w:hAnsi="Arial" w:cs="Arial"/>
          <w:color w:val="000000"/>
          <w:sz w:val="20"/>
        </w:rPr>
        <w:t xml:space="preserve"> v. </w:t>
      </w:r>
      <w:r>
        <w:rPr>
          <w:rFonts w:ascii="Arial" w:eastAsia="Arial" w:hAnsi="Arial" w:cs="Arial"/>
          <w:i/>
          <w:color w:val="000000"/>
          <w:sz w:val="20"/>
        </w:rPr>
        <w:t>Nationwide Insurance Company</w:t>
      </w:r>
      <w:r>
        <w:rPr>
          <w:rFonts w:ascii="Arial" w:eastAsia="Arial" w:hAnsi="Arial" w:cs="Arial"/>
          <w:color w:val="000000"/>
          <w:sz w:val="20"/>
        </w:rPr>
        <w:t xml:space="preserve">, </w:t>
      </w:r>
      <w:r>
        <w:rPr>
          <w:rFonts w:ascii="Arial" w:eastAsia="Arial" w:hAnsi="Arial" w:cs="Arial"/>
          <w:vertAlign w:val="superscript"/>
        </w:rPr>
        <w:footnoteReference w:customMarkFollows="1" w:id="21"/>
        <w:t>21</w:t>
      </w:r>
      <w:r>
        <w:rPr>
          <w:rFonts w:ascii="Arial" w:eastAsia="Arial" w:hAnsi="Arial" w:cs="Arial"/>
          <w:color w:val="000000"/>
          <w:sz w:val="20"/>
        </w:rPr>
        <w:t xml:space="preserve"> involved a dispute between insurers. The appellate court criticized National Union for its "strid</w:t>
      </w:r>
      <w:r>
        <w:rPr>
          <w:rFonts w:ascii="Arial" w:eastAsia="Arial" w:hAnsi="Arial" w:cs="Arial"/>
          <w:color w:val="000000"/>
          <w:sz w:val="20"/>
        </w:rPr>
        <w:t xml:space="preserve">ent references to Nationwide's 'bad faith' failure to </w:t>
      </w:r>
      <w:r>
        <w:rPr>
          <w:rFonts w:ascii="Arial" w:eastAsia="Arial" w:hAnsi="Arial" w:cs="Arial"/>
          <w:b/>
          <w:i/>
          <w:color w:val="000000"/>
          <w:sz w:val="20"/>
          <w:u w:val="single"/>
        </w:rPr>
        <w:t>defend</w:t>
      </w:r>
      <w:r>
        <w:rPr>
          <w:rFonts w:ascii="Arial" w:eastAsia="Arial" w:hAnsi="Arial" w:cs="Arial"/>
          <w:color w:val="000000"/>
          <w:sz w:val="20"/>
        </w:rPr>
        <w:t xml:space="preserve">...." </w:t>
      </w:r>
      <w:r>
        <w:rPr>
          <w:rFonts w:ascii="Arial" w:eastAsia="Arial" w:hAnsi="Arial" w:cs="Arial"/>
          <w:vertAlign w:val="superscript"/>
        </w:rPr>
        <w:footnoteReference w:customMarkFollows="1" w:id="22"/>
        <w:t>22</w:t>
      </w:r>
      <w:r>
        <w:rPr>
          <w:rFonts w:ascii="Arial" w:eastAsia="Arial" w:hAnsi="Arial" w:cs="Arial"/>
          <w:color w:val="000000"/>
          <w:sz w:val="20"/>
        </w:rPr>
        <w:t xml:space="preserve"> Citing </w:t>
      </w:r>
      <w:r>
        <w:rPr>
          <w:rFonts w:ascii="Arial" w:eastAsia="Arial" w:hAnsi="Arial" w:cs="Arial"/>
          <w:i/>
          <w:color w:val="000000"/>
          <w:sz w:val="20"/>
        </w:rPr>
        <w:t>Ceresino</w:t>
      </w:r>
      <w:r>
        <w:rPr>
          <w:rFonts w:ascii="Arial" w:eastAsia="Arial" w:hAnsi="Arial" w:cs="Arial"/>
          <w:color w:val="000000"/>
          <w:sz w:val="20"/>
        </w:rPr>
        <w:t>, the court went on to explain: "To the contrary, National Union stepped in and fulfilled the very roles for which it received policy premiums. This dispute between insuran</w:t>
      </w:r>
      <w:r>
        <w:rPr>
          <w:rFonts w:ascii="Arial" w:eastAsia="Arial" w:hAnsi="Arial" w:cs="Arial"/>
          <w:color w:val="000000"/>
          <w:sz w:val="20"/>
        </w:rPr>
        <w:t xml:space="preserve">ce carriers is little served by co-opting rhetoric which more aptly applies to insureds who are left without any insurer-provided defense." </w:t>
      </w:r>
      <w:r>
        <w:rPr>
          <w:rFonts w:ascii="Arial" w:eastAsia="Arial" w:hAnsi="Arial" w:cs="Arial"/>
          <w:vertAlign w:val="superscript"/>
        </w:rPr>
        <w:footnoteReference w:customMarkFollows="1" w:id="23"/>
        <w:t>23</w:t>
      </w:r>
    </w:p>
    <w:p w14:paraId="395BF463" w14:textId="77777777" w:rsidR="005B512B" w:rsidRDefault="00F032DA">
      <w:pPr>
        <w:spacing w:before="200" w:line="260" w:lineRule="atLeast"/>
        <w:jc w:val="both"/>
      </w:pPr>
      <w:r>
        <w:rPr>
          <w:rFonts w:ascii="Arial" w:eastAsia="Arial" w:hAnsi="Arial" w:cs="Arial"/>
          <w:color w:val="000000"/>
          <w:sz w:val="20"/>
        </w:rPr>
        <w:lastRenderedPageBreak/>
        <w:t xml:space="preserve">A similar point was made more recently in </w:t>
      </w:r>
      <w:r>
        <w:rPr>
          <w:rFonts w:ascii="Arial" w:eastAsia="Arial" w:hAnsi="Arial" w:cs="Arial"/>
          <w:i/>
          <w:color w:val="000000"/>
          <w:sz w:val="20"/>
        </w:rPr>
        <w:t>Barratt American, Inc.</w:t>
      </w:r>
      <w:r>
        <w:rPr>
          <w:rFonts w:ascii="Arial" w:eastAsia="Arial" w:hAnsi="Arial" w:cs="Arial"/>
          <w:color w:val="000000"/>
          <w:sz w:val="20"/>
        </w:rPr>
        <w:t xml:space="preserve"> v. </w:t>
      </w:r>
      <w:r>
        <w:rPr>
          <w:rFonts w:ascii="Arial" w:eastAsia="Arial" w:hAnsi="Arial" w:cs="Arial"/>
          <w:i/>
          <w:color w:val="000000"/>
          <w:sz w:val="20"/>
        </w:rPr>
        <w:t>Transcontinental Insurance Company</w:t>
      </w:r>
      <w:r>
        <w:rPr>
          <w:rFonts w:ascii="Arial" w:eastAsia="Arial" w:hAnsi="Arial" w:cs="Arial"/>
          <w:color w:val="000000"/>
          <w:sz w:val="20"/>
        </w:rPr>
        <w:t xml:space="preserve">. </w:t>
      </w:r>
      <w:r>
        <w:rPr>
          <w:rFonts w:ascii="Arial" w:eastAsia="Arial" w:hAnsi="Arial" w:cs="Arial"/>
          <w:vertAlign w:val="superscript"/>
        </w:rPr>
        <w:footnoteReference w:customMarkFollows="1" w:id="24"/>
        <w:t>24</w:t>
      </w:r>
      <w:r>
        <w:rPr>
          <w:rFonts w:ascii="Arial" w:eastAsia="Arial" w:hAnsi="Arial" w:cs="Arial"/>
          <w:color w:val="000000"/>
          <w:sz w:val="20"/>
        </w:rPr>
        <w:t xml:space="preserve"> Barrat</w:t>
      </w:r>
      <w:r>
        <w:rPr>
          <w:rFonts w:ascii="Arial" w:eastAsia="Arial" w:hAnsi="Arial" w:cs="Arial"/>
          <w:color w:val="000000"/>
          <w:sz w:val="20"/>
        </w:rPr>
        <w:t xml:space="preserve">t argued that one of its additional insured carriers had the burden to prove that the costs that Barratt had incurred to repair and upgrade </w:t>
      </w:r>
      <w:r>
        <w:rPr>
          <w:rFonts w:ascii="Arial" w:eastAsia="Arial" w:hAnsi="Arial" w:cs="Arial"/>
          <w:b/>
          <w:i/>
          <w:color w:val="000000"/>
          <w:sz w:val="20"/>
          <w:u w:val="single"/>
        </w:rPr>
        <w:t>homes</w:t>
      </w:r>
      <w:r>
        <w:rPr>
          <w:rFonts w:ascii="Arial" w:eastAsia="Arial" w:hAnsi="Arial" w:cs="Arial"/>
          <w:color w:val="000000"/>
          <w:sz w:val="20"/>
        </w:rPr>
        <w:t xml:space="preserve"> that were not involved in litigation were not reasonable and necessary "defense costs." Barratt argued that tr</w:t>
      </w:r>
      <w:r>
        <w:rPr>
          <w:rFonts w:ascii="Arial" w:eastAsia="Arial" w:hAnsi="Arial" w:cs="Arial"/>
          <w:color w:val="000000"/>
          <w:sz w:val="20"/>
        </w:rPr>
        <w:t xml:space="preserve">aditional burden-of-proof rules were inapplicable because Transcontinental had "breached" its </w:t>
      </w:r>
      <w:r>
        <w:rPr>
          <w:rFonts w:ascii="Arial" w:eastAsia="Arial" w:hAnsi="Arial" w:cs="Arial"/>
          <w:b/>
          <w:i/>
          <w:color w:val="000000"/>
          <w:sz w:val="20"/>
          <w:u w:val="single"/>
        </w:rPr>
        <w:t>duty to defend</w:t>
      </w:r>
      <w:r>
        <w:rPr>
          <w:rFonts w:ascii="Arial" w:eastAsia="Arial" w:hAnsi="Arial" w:cs="Arial"/>
          <w:color w:val="000000"/>
          <w:sz w:val="20"/>
        </w:rPr>
        <w:t xml:space="preserve">. The court rejected Barratt's argument because Barratt had been </w:t>
      </w:r>
      <w:r>
        <w:rPr>
          <w:rFonts w:ascii="Arial" w:eastAsia="Arial" w:hAnsi="Arial" w:cs="Arial"/>
          <w:b/>
          <w:i/>
          <w:color w:val="000000"/>
          <w:sz w:val="20"/>
          <w:u w:val="single"/>
        </w:rPr>
        <w:t>defended</w:t>
      </w:r>
      <w:r>
        <w:rPr>
          <w:rFonts w:ascii="Arial" w:eastAsia="Arial" w:hAnsi="Arial" w:cs="Arial"/>
          <w:color w:val="000000"/>
          <w:sz w:val="20"/>
        </w:rPr>
        <w:t xml:space="preserve"> by a different insurer.</w:t>
      </w:r>
    </w:p>
    <w:p w14:paraId="17BB3DDA" w14:textId="77777777" w:rsidR="005B512B" w:rsidRDefault="00F032DA">
      <w:pPr>
        <w:spacing w:before="200" w:line="260" w:lineRule="atLeast"/>
        <w:jc w:val="both"/>
      </w:pPr>
      <w:r>
        <w:rPr>
          <w:rFonts w:ascii="Arial" w:eastAsia="Arial" w:hAnsi="Arial" w:cs="Arial"/>
          <w:color w:val="000000"/>
          <w:sz w:val="20"/>
        </w:rPr>
        <w:t>As the court explained, "Transcontinental was neve</w:t>
      </w:r>
      <w:r>
        <w:rPr>
          <w:rFonts w:ascii="Arial" w:eastAsia="Arial" w:hAnsi="Arial" w:cs="Arial"/>
          <w:color w:val="000000"/>
          <w:sz w:val="20"/>
        </w:rPr>
        <w:t xml:space="preserve">r asked to provide additional legal counsel" and Barratt was not "left to mount its own defense." </w:t>
      </w:r>
      <w:r>
        <w:rPr>
          <w:rFonts w:ascii="Arial" w:eastAsia="Arial" w:hAnsi="Arial" w:cs="Arial"/>
          <w:vertAlign w:val="superscript"/>
        </w:rPr>
        <w:footnoteReference w:customMarkFollows="1" w:id="25"/>
        <w:t>25</w:t>
      </w:r>
      <w:r>
        <w:rPr>
          <w:rFonts w:ascii="Arial" w:eastAsia="Arial" w:hAnsi="Arial" w:cs="Arial"/>
          <w:color w:val="000000"/>
          <w:sz w:val="20"/>
        </w:rPr>
        <w:t xml:space="preserve"> Instead, "Barratt's direct insurer (Gerling) had accepted the </w:t>
      </w:r>
      <w:r>
        <w:rPr>
          <w:rFonts w:ascii="Arial" w:eastAsia="Arial" w:hAnsi="Arial" w:cs="Arial"/>
          <w:b/>
          <w:i/>
          <w:color w:val="000000"/>
          <w:sz w:val="20"/>
          <w:u w:val="single"/>
        </w:rPr>
        <w:t>duty to defend</w:t>
      </w:r>
      <w:r>
        <w:rPr>
          <w:rFonts w:ascii="Arial" w:eastAsia="Arial" w:hAnsi="Arial" w:cs="Arial"/>
          <w:color w:val="000000"/>
          <w:sz w:val="20"/>
        </w:rPr>
        <w:t xml:space="preserve">...and Barratt was fully represented by legal counsel paid by Gerling." </w:t>
      </w:r>
      <w:r>
        <w:rPr>
          <w:rFonts w:ascii="Arial" w:eastAsia="Arial" w:hAnsi="Arial" w:cs="Arial"/>
          <w:vertAlign w:val="superscript"/>
        </w:rPr>
        <w:footnoteReference w:customMarkFollows="1" w:id="26"/>
        <w:t>26</w:t>
      </w:r>
      <w:r>
        <w:rPr>
          <w:rFonts w:ascii="Arial" w:eastAsia="Arial" w:hAnsi="Arial" w:cs="Arial"/>
          <w:color w:val="000000"/>
          <w:sz w:val="20"/>
        </w:rPr>
        <w:t xml:space="preserve"> In a</w:t>
      </w:r>
      <w:r>
        <w:rPr>
          <w:rFonts w:ascii="Arial" w:eastAsia="Arial" w:hAnsi="Arial" w:cs="Arial"/>
          <w:color w:val="000000"/>
          <w:sz w:val="20"/>
        </w:rPr>
        <w:t xml:space="preserve"> footnote the court explained that although there was some evidence that Gerling did not pay all the attorney's fees and expert bills that Barratt had incurred in a timely manner, there was no evidence showing that Barratt's "defense was impeded or that if</w:t>
      </w:r>
      <w:r>
        <w:rPr>
          <w:rFonts w:ascii="Arial" w:eastAsia="Arial" w:hAnsi="Arial" w:cs="Arial"/>
          <w:color w:val="000000"/>
          <w:sz w:val="20"/>
        </w:rPr>
        <w:t xml:space="preserve"> those bills had been paid more promptly the defense would have been improved." </w:t>
      </w:r>
      <w:r>
        <w:rPr>
          <w:rFonts w:ascii="Arial" w:eastAsia="Arial" w:hAnsi="Arial" w:cs="Arial"/>
          <w:vertAlign w:val="superscript"/>
        </w:rPr>
        <w:footnoteReference w:customMarkFollows="1" w:id="27"/>
        <w:t>27</w:t>
      </w:r>
    </w:p>
    <w:p w14:paraId="05409D67" w14:textId="77777777" w:rsidR="005B512B" w:rsidRDefault="00F032DA">
      <w:pPr>
        <w:spacing w:before="200" w:line="260" w:lineRule="atLeast"/>
        <w:jc w:val="both"/>
      </w:pPr>
      <w:r>
        <w:rPr>
          <w:rFonts w:ascii="Arial" w:eastAsia="Arial" w:hAnsi="Arial" w:cs="Arial"/>
          <w:color w:val="000000"/>
          <w:sz w:val="20"/>
        </w:rPr>
        <w:t xml:space="preserve">As these authorities show, from the stand-point of a developer that is already receiving a fully funded insurance defense, an additional insured carrier's obligation to </w:t>
      </w:r>
      <w:r>
        <w:rPr>
          <w:rFonts w:ascii="Arial" w:eastAsia="Arial" w:hAnsi="Arial" w:cs="Arial"/>
          <w:b/>
          <w:i/>
          <w:color w:val="000000"/>
          <w:sz w:val="20"/>
          <w:u w:val="single"/>
        </w:rPr>
        <w:t>defe</w:t>
      </w:r>
      <w:r>
        <w:rPr>
          <w:rFonts w:ascii="Arial" w:eastAsia="Arial" w:hAnsi="Arial" w:cs="Arial"/>
          <w:b/>
          <w:i/>
          <w:color w:val="000000"/>
          <w:sz w:val="20"/>
          <w:u w:val="single"/>
        </w:rPr>
        <w:t>nd</w:t>
      </w:r>
      <w:r>
        <w:rPr>
          <w:rFonts w:ascii="Arial" w:eastAsia="Arial" w:hAnsi="Arial" w:cs="Arial"/>
          <w:color w:val="000000"/>
          <w:sz w:val="20"/>
        </w:rPr>
        <w:t xml:space="preserve"> is largely irrelevant. The developer is entitled to one insurer-funded defense, not several. </w:t>
      </w:r>
      <w:r>
        <w:rPr>
          <w:rFonts w:ascii="Arial" w:eastAsia="Arial" w:hAnsi="Arial" w:cs="Arial"/>
          <w:vertAlign w:val="superscript"/>
        </w:rPr>
        <w:footnoteReference w:customMarkFollows="1" w:id="28"/>
        <w:t>28</w:t>
      </w:r>
      <w:r>
        <w:rPr>
          <w:rFonts w:ascii="Arial" w:eastAsia="Arial" w:hAnsi="Arial" w:cs="Arial"/>
          <w:color w:val="000000"/>
          <w:sz w:val="20"/>
        </w:rPr>
        <w:t xml:space="preserve"> This is why the key fact in </w:t>
      </w:r>
      <w:r>
        <w:rPr>
          <w:rFonts w:ascii="Arial" w:eastAsia="Arial" w:hAnsi="Arial" w:cs="Arial"/>
          <w:b/>
          <w:i/>
          <w:color w:val="000000"/>
          <w:sz w:val="20"/>
          <w:u w:val="single"/>
        </w:rPr>
        <w:t>Presley</w:t>
      </w:r>
      <w:r>
        <w:rPr>
          <w:rFonts w:ascii="Arial" w:eastAsia="Arial" w:hAnsi="Arial" w:cs="Arial"/>
          <w:color w:val="000000"/>
          <w:sz w:val="20"/>
        </w:rPr>
        <w:t xml:space="preserve"> was that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was not receiving a full defense from any other insurer when </w:t>
      </w:r>
      <w:r>
        <w:rPr>
          <w:rFonts w:ascii="Arial" w:eastAsia="Arial" w:hAnsi="Arial" w:cs="Arial"/>
          <w:b/>
          <w:color w:val="000000"/>
          <w:sz w:val="20"/>
        </w:rPr>
        <w:t> [*19] </w:t>
      </w:r>
      <w:r>
        <w:rPr>
          <w:rFonts w:ascii="Arial" w:eastAsia="Arial" w:hAnsi="Arial" w:cs="Arial"/>
          <w:color w:val="000000"/>
          <w:sz w:val="20"/>
        </w:rPr>
        <w:t xml:space="preserve"> American States offered to provide a partial defense.</w:t>
      </w:r>
    </w:p>
    <w:p w14:paraId="1AE33DA8" w14:textId="77777777" w:rsidR="005B512B" w:rsidRDefault="00F032DA">
      <w:pPr>
        <w:spacing w:before="200" w:line="260" w:lineRule="atLeast"/>
        <w:jc w:val="both"/>
      </w:pPr>
      <w:r>
        <w:rPr>
          <w:rFonts w:ascii="Arial" w:eastAsia="Arial" w:hAnsi="Arial" w:cs="Arial"/>
          <w:color w:val="000000"/>
          <w:sz w:val="20"/>
        </w:rPr>
        <w:t xml:space="preserve">If </w:t>
      </w:r>
      <w:r>
        <w:rPr>
          <w:rFonts w:ascii="Arial" w:eastAsia="Arial" w:hAnsi="Arial" w:cs="Arial"/>
          <w:b/>
          <w:i/>
          <w:color w:val="000000"/>
          <w:sz w:val="20"/>
          <w:u w:val="single"/>
        </w:rPr>
        <w:t>Presley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had been receiving a full defense from its own direct insurer (or some other additional insured carrier, or some combination of insurers) when it asked American States to </w:t>
      </w:r>
      <w:r>
        <w:rPr>
          <w:rFonts w:ascii="Arial" w:eastAsia="Arial" w:hAnsi="Arial" w:cs="Arial"/>
          <w:b/>
          <w:i/>
          <w:color w:val="000000"/>
          <w:sz w:val="20"/>
          <w:u w:val="single"/>
        </w:rPr>
        <w:t>defend</w:t>
      </w:r>
      <w:r>
        <w:rPr>
          <w:rFonts w:ascii="Arial" w:eastAsia="Arial" w:hAnsi="Arial" w:cs="Arial"/>
          <w:color w:val="000000"/>
          <w:sz w:val="20"/>
        </w:rPr>
        <w:t xml:space="preserve">. </w:t>
      </w:r>
      <w:r>
        <w:rPr>
          <w:rFonts w:ascii="Arial" w:eastAsia="Arial" w:hAnsi="Arial" w:cs="Arial"/>
          <w:b/>
          <w:i/>
          <w:color w:val="000000"/>
          <w:sz w:val="20"/>
          <w:u w:val="single"/>
        </w:rPr>
        <w:t>Presl</w:t>
      </w:r>
      <w:r>
        <w:rPr>
          <w:rFonts w:ascii="Arial" w:eastAsia="Arial" w:hAnsi="Arial" w:cs="Arial"/>
          <w:b/>
          <w:i/>
          <w:color w:val="000000"/>
          <w:sz w:val="20"/>
          <w:u w:val="single"/>
        </w:rPr>
        <w:t>ey</w:t>
      </w:r>
      <w:r>
        <w:rPr>
          <w:rFonts w:ascii="Arial" w:eastAsia="Arial" w:hAnsi="Arial" w:cs="Arial"/>
          <w:color w:val="000000"/>
          <w:sz w:val="20"/>
        </w:rPr>
        <w:t xml:space="preserve"> </w:t>
      </w:r>
      <w:r>
        <w:rPr>
          <w:rFonts w:ascii="Arial" w:eastAsia="Arial" w:hAnsi="Arial" w:cs="Arial"/>
          <w:b/>
          <w:i/>
          <w:color w:val="000000"/>
          <w:sz w:val="20"/>
          <w:u w:val="single"/>
        </w:rPr>
        <w:t>Homes</w:t>
      </w:r>
      <w:r>
        <w:rPr>
          <w:rFonts w:ascii="Arial" w:eastAsia="Arial" w:hAnsi="Arial" w:cs="Arial"/>
          <w:color w:val="000000"/>
          <w:sz w:val="20"/>
        </w:rPr>
        <w:t xml:space="preserve"> would have held no rights against American States. Instead, those insurers that were funding the defense would have had the right to request equitable contribution from American States.</w:t>
      </w:r>
    </w:p>
    <w:p w14:paraId="1AC10337" w14:textId="77777777" w:rsidR="005B512B" w:rsidRDefault="00F032DA">
      <w:pPr>
        <w:spacing w:before="200" w:line="260" w:lineRule="atLeast"/>
        <w:jc w:val="both"/>
      </w:pPr>
      <w:r>
        <w:rPr>
          <w:rFonts w:ascii="Arial" w:eastAsia="Arial" w:hAnsi="Arial" w:cs="Arial"/>
          <w:b/>
          <w:color w:val="000000"/>
          <w:sz w:val="20"/>
        </w:rPr>
        <w:t>Allocation of Responsibility</w:t>
      </w:r>
    </w:p>
    <w:p w14:paraId="79A51CC2" w14:textId="77777777" w:rsidR="005B512B" w:rsidRDefault="00F032DA">
      <w:pPr>
        <w:spacing w:before="200" w:line="260" w:lineRule="atLeast"/>
        <w:jc w:val="both"/>
      </w:pPr>
      <w:r>
        <w:rPr>
          <w:rFonts w:ascii="Arial" w:eastAsia="Arial" w:hAnsi="Arial" w:cs="Arial"/>
          <w:color w:val="000000"/>
          <w:sz w:val="20"/>
        </w:rPr>
        <w:t xml:space="preserve">When two or more insurers share </w:t>
      </w:r>
      <w:r>
        <w:rPr>
          <w:rFonts w:ascii="Arial" w:eastAsia="Arial" w:hAnsi="Arial" w:cs="Arial"/>
          <w:color w:val="000000"/>
          <w:sz w:val="20"/>
        </w:rPr>
        <w:t xml:space="preserve">an obligation to </w:t>
      </w:r>
      <w:r>
        <w:rPr>
          <w:rFonts w:ascii="Arial" w:eastAsia="Arial" w:hAnsi="Arial" w:cs="Arial"/>
          <w:b/>
          <w:i/>
          <w:color w:val="000000"/>
          <w:sz w:val="20"/>
          <w:u w:val="single"/>
        </w:rPr>
        <w:t>defend</w:t>
      </w:r>
      <w:r>
        <w:rPr>
          <w:rFonts w:ascii="Arial" w:eastAsia="Arial" w:hAnsi="Arial" w:cs="Arial"/>
          <w:color w:val="000000"/>
          <w:sz w:val="20"/>
        </w:rPr>
        <w:t xml:space="preserve"> the same policyholder against the same lawsuit, courts allocate responsibility among those insurers based on equitable principles. The "purpose of this rule of equity is to accomplish substantial justice by equalizing a common burde</w:t>
      </w:r>
      <w:r>
        <w:rPr>
          <w:rFonts w:ascii="Arial" w:eastAsia="Arial" w:hAnsi="Arial" w:cs="Arial"/>
          <w:color w:val="000000"/>
          <w:sz w:val="20"/>
        </w:rPr>
        <w:t xml:space="preserve">n shared by coinsurers, and to prevent one insurer from profiting at the expense of others." </w:t>
      </w:r>
      <w:r>
        <w:rPr>
          <w:rFonts w:ascii="Arial" w:eastAsia="Arial" w:hAnsi="Arial" w:cs="Arial"/>
          <w:vertAlign w:val="superscript"/>
        </w:rPr>
        <w:footnoteReference w:customMarkFollows="1" w:id="29"/>
        <w:t>29</w:t>
      </w:r>
      <w:r>
        <w:rPr>
          <w:rFonts w:ascii="Arial" w:eastAsia="Arial" w:hAnsi="Arial" w:cs="Arial"/>
          <w:color w:val="000000"/>
          <w:sz w:val="20"/>
        </w:rPr>
        <w:t xml:space="preserve"> There is no one fixed rule. Formulas that have been used to equitably allocate a shared defense obligation include comparison of policy limits, the amount of "t</w:t>
      </w:r>
      <w:r>
        <w:rPr>
          <w:rFonts w:ascii="Arial" w:eastAsia="Arial" w:hAnsi="Arial" w:cs="Arial"/>
          <w:color w:val="000000"/>
          <w:sz w:val="20"/>
        </w:rPr>
        <w:t xml:space="preserve">ime on the risk," the premiums paid, and the amounts contributed to a settlement. </w:t>
      </w:r>
      <w:r>
        <w:rPr>
          <w:rFonts w:ascii="Arial" w:eastAsia="Arial" w:hAnsi="Arial" w:cs="Arial"/>
          <w:vertAlign w:val="superscript"/>
        </w:rPr>
        <w:footnoteReference w:customMarkFollows="1" w:id="30"/>
        <w:t>30</w:t>
      </w:r>
    </w:p>
    <w:p w14:paraId="4E4D3F21" w14:textId="77777777" w:rsidR="005B512B" w:rsidRDefault="00F032DA">
      <w:pPr>
        <w:spacing w:before="200" w:line="260" w:lineRule="atLeast"/>
        <w:jc w:val="both"/>
      </w:pPr>
      <w:r>
        <w:rPr>
          <w:rFonts w:ascii="Arial" w:eastAsia="Arial" w:hAnsi="Arial" w:cs="Arial"/>
          <w:color w:val="000000"/>
          <w:sz w:val="20"/>
        </w:rPr>
        <w:t xml:space="preserve">Some attorneys have argued that the 100 percent prophylactic </w:t>
      </w:r>
      <w:r>
        <w:rPr>
          <w:rFonts w:ascii="Arial" w:eastAsia="Arial" w:hAnsi="Arial" w:cs="Arial"/>
          <w:b/>
          <w:i/>
          <w:color w:val="000000"/>
          <w:sz w:val="20"/>
          <w:u w:val="single"/>
        </w:rPr>
        <w:t>duty to defend</w:t>
      </w:r>
      <w:r>
        <w:rPr>
          <w:rFonts w:ascii="Arial" w:eastAsia="Arial" w:hAnsi="Arial" w:cs="Arial"/>
          <w:color w:val="000000"/>
          <w:sz w:val="20"/>
        </w:rPr>
        <w:t xml:space="preserve"> outlined in </w:t>
      </w:r>
      <w:r>
        <w:rPr>
          <w:rFonts w:ascii="Arial" w:eastAsia="Arial" w:hAnsi="Arial" w:cs="Arial"/>
          <w:b/>
          <w:i/>
          <w:color w:val="000000"/>
          <w:sz w:val="20"/>
          <w:u w:val="single"/>
        </w:rPr>
        <w:t>Presley</w:t>
      </w:r>
      <w:r>
        <w:rPr>
          <w:rFonts w:ascii="Arial" w:eastAsia="Arial" w:hAnsi="Arial" w:cs="Arial"/>
          <w:color w:val="000000"/>
          <w:sz w:val="20"/>
        </w:rPr>
        <w:t xml:space="preserve"> means that each insurer owes the same defense obligation. From there, they </w:t>
      </w:r>
      <w:r>
        <w:rPr>
          <w:rFonts w:ascii="Arial" w:eastAsia="Arial" w:hAnsi="Arial" w:cs="Arial"/>
          <w:color w:val="000000"/>
          <w:sz w:val="20"/>
        </w:rPr>
        <w:t>argue that equitable sharing between insurers must be based on equal shares, with each participating insurer contributing the same amount toward the defense regardless of whether or not other factors would make this approach inequitable.</w:t>
      </w:r>
    </w:p>
    <w:p w14:paraId="047BAA30" w14:textId="77777777" w:rsidR="005B512B" w:rsidRDefault="00F032DA">
      <w:pPr>
        <w:spacing w:before="200" w:line="260" w:lineRule="atLeast"/>
        <w:jc w:val="both"/>
      </w:pPr>
      <w:r>
        <w:rPr>
          <w:rFonts w:ascii="Arial" w:eastAsia="Arial" w:hAnsi="Arial" w:cs="Arial"/>
          <w:color w:val="000000"/>
          <w:sz w:val="20"/>
        </w:rPr>
        <w:lastRenderedPageBreak/>
        <w:t>There are certainl</w:t>
      </w:r>
      <w:r>
        <w:rPr>
          <w:rFonts w:ascii="Arial" w:eastAsia="Arial" w:hAnsi="Arial" w:cs="Arial"/>
          <w:color w:val="000000"/>
          <w:sz w:val="20"/>
        </w:rPr>
        <w:t xml:space="preserve">y times when equitable allocation based on equal shares makes sense, but this approach is not required just because every insurer with an obligation to </w:t>
      </w:r>
      <w:r>
        <w:rPr>
          <w:rFonts w:ascii="Arial" w:eastAsia="Arial" w:hAnsi="Arial" w:cs="Arial"/>
          <w:b/>
          <w:i/>
          <w:color w:val="000000"/>
          <w:sz w:val="20"/>
          <w:u w:val="single"/>
        </w:rPr>
        <w:t>defend</w:t>
      </w:r>
      <w:r>
        <w:rPr>
          <w:rFonts w:ascii="Arial" w:eastAsia="Arial" w:hAnsi="Arial" w:cs="Arial"/>
          <w:color w:val="000000"/>
          <w:sz w:val="20"/>
        </w:rPr>
        <w:t xml:space="preserve"> part of a lawsuit has a prophylactic obligation to </w:t>
      </w:r>
      <w:r>
        <w:rPr>
          <w:rFonts w:ascii="Arial" w:eastAsia="Arial" w:hAnsi="Arial" w:cs="Arial"/>
          <w:b/>
          <w:i/>
          <w:color w:val="000000"/>
          <w:sz w:val="20"/>
          <w:u w:val="single"/>
        </w:rPr>
        <w:t>defend</w:t>
      </w:r>
      <w:r>
        <w:rPr>
          <w:rFonts w:ascii="Arial" w:eastAsia="Arial" w:hAnsi="Arial" w:cs="Arial"/>
          <w:color w:val="000000"/>
          <w:sz w:val="20"/>
        </w:rPr>
        <w:t xml:space="preserve"> the entire lawsuit. In fact, decisions </w:t>
      </w:r>
      <w:r>
        <w:rPr>
          <w:rFonts w:ascii="Arial" w:eastAsia="Arial" w:hAnsi="Arial" w:cs="Arial"/>
          <w:color w:val="000000"/>
          <w:sz w:val="20"/>
        </w:rPr>
        <w:t xml:space="preserve">after </w:t>
      </w:r>
      <w:r>
        <w:rPr>
          <w:rFonts w:ascii="Arial" w:eastAsia="Arial" w:hAnsi="Arial" w:cs="Arial"/>
          <w:i/>
          <w:color w:val="000000"/>
          <w:sz w:val="20"/>
        </w:rPr>
        <w:t>Buss</w:t>
      </w:r>
      <w:r>
        <w:rPr>
          <w:rFonts w:ascii="Arial" w:eastAsia="Arial" w:hAnsi="Arial" w:cs="Arial"/>
          <w:color w:val="000000"/>
          <w:sz w:val="20"/>
        </w:rPr>
        <w:t xml:space="preserve"> and </w:t>
      </w:r>
      <w:r>
        <w:rPr>
          <w:rFonts w:ascii="Arial" w:eastAsia="Arial" w:hAnsi="Arial" w:cs="Arial"/>
          <w:b/>
          <w:i/>
          <w:color w:val="000000"/>
          <w:sz w:val="20"/>
          <w:u w:val="single"/>
        </w:rPr>
        <w:t>Presley</w:t>
      </w:r>
      <w:r>
        <w:rPr>
          <w:rFonts w:ascii="Arial" w:eastAsia="Arial" w:hAnsi="Arial" w:cs="Arial"/>
          <w:color w:val="000000"/>
          <w:sz w:val="20"/>
        </w:rPr>
        <w:t xml:space="preserve"> have continued to endorse other methods of arriving at a fair contribution among insurers who share a common obligation to </w:t>
      </w:r>
      <w:r>
        <w:rPr>
          <w:rFonts w:ascii="Arial" w:eastAsia="Arial" w:hAnsi="Arial" w:cs="Arial"/>
          <w:b/>
          <w:i/>
          <w:color w:val="000000"/>
          <w:sz w:val="20"/>
          <w:u w:val="single"/>
        </w:rPr>
        <w:t>defend</w:t>
      </w:r>
      <w:r>
        <w:rPr>
          <w:rFonts w:ascii="Arial" w:eastAsia="Arial" w:hAnsi="Arial" w:cs="Arial"/>
          <w:color w:val="000000"/>
          <w:sz w:val="20"/>
        </w:rPr>
        <w:t xml:space="preserve"> a policyholder. For example, </w:t>
      </w:r>
      <w:r>
        <w:rPr>
          <w:rFonts w:ascii="Arial" w:eastAsia="Arial" w:hAnsi="Arial" w:cs="Arial"/>
          <w:i/>
          <w:color w:val="000000"/>
          <w:sz w:val="20"/>
        </w:rPr>
        <w:t>Fireman's Fund Insurance Company</w:t>
      </w:r>
      <w:r>
        <w:rPr>
          <w:rFonts w:ascii="Arial" w:eastAsia="Arial" w:hAnsi="Arial" w:cs="Arial"/>
          <w:color w:val="000000"/>
          <w:sz w:val="20"/>
        </w:rPr>
        <w:t xml:space="preserve"> v. </w:t>
      </w:r>
      <w:r>
        <w:rPr>
          <w:rFonts w:ascii="Arial" w:eastAsia="Arial" w:hAnsi="Arial" w:cs="Arial"/>
          <w:i/>
          <w:color w:val="000000"/>
          <w:sz w:val="20"/>
        </w:rPr>
        <w:t>Maryland Casualty Company</w:t>
      </w:r>
      <w:r>
        <w:rPr>
          <w:rFonts w:ascii="Arial" w:eastAsia="Arial" w:hAnsi="Arial" w:cs="Arial"/>
          <w:color w:val="000000"/>
          <w:sz w:val="20"/>
        </w:rPr>
        <w:t xml:space="preserve"> </w:t>
      </w:r>
      <w:r>
        <w:rPr>
          <w:rFonts w:ascii="Arial" w:eastAsia="Arial" w:hAnsi="Arial" w:cs="Arial"/>
          <w:vertAlign w:val="superscript"/>
        </w:rPr>
        <w:footnoteReference w:customMarkFollows="1" w:id="31"/>
        <w:t>31</w:t>
      </w:r>
      <w:r>
        <w:rPr>
          <w:rFonts w:ascii="Arial" w:eastAsia="Arial" w:hAnsi="Arial" w:cs="Arial"/>
          <w:color w:val="000000"/>
          <w:sz w:val="20"/>
        </w:rPr>
        <w:t xml:space="preserve"> noted tha</w:t>
      </w:r>
      <w:r>
        <w:rPr>
          <w:rFonts w:ascii="Arial" w:eastAsia="Arial" w:hAnsi="Arial" w:cs="Arial"/>
          <w:color w:val="000000"/>
          <w:sz w:val="20"/>
        </w:rPr>
        <w:t xml:space="preserve">t one valid equitable consideration would be whether a particular insurer stepped forward to acknowledge its defense obligation or, instead, refused to </w:t>
      </w:r>
      <w:r>
        <w:rPr>
          <w:rFonts w:ascii="Arial" w:eastAsia="Arial" w:hAnsi="Arial" w:cs="Arial"/>
          <w:b/>
          <w:i/>
          <w:color w:val="000000"/>
          <w:sz w:val="20"/>
          <w:u w:val="single"/>
        </w:rPr>
        <w:t>defend</w:t>
      </w:r>
      <w:r>
        <w:rPr>
          <w:rFonts w:ascii="Arial" w:eastAsia="Arial" w:hAnsi="Arial" w:cs="Arial"/>
          <w:color w:val="000000"/>
          <w:sz w:val="20"/>
        </w:rPr>
        <w:t xml:space="preserve"> the policyholder. According to this logic, those carriers that are reluctant to acknowledge their</w:t>
      </w:r>
      <w:r>
        <w:rPr>
          <w:rFonts w:ascii="Arial" w:eastAsia="Arial" w:hAnsi="Arial" w:cs="Arial"/>
          <w:color w:val="000000"/>
          <w:sz w:val="20"/>
        </w:rPr>
        <w:t xml:space="preserve"> defense obligation should pay a larger part of the common defense fees and expenses than those carriers that voluntarily step forward to </w:t>
      </w:r>
      <w:r>
        <w:rPr>
          <w:rFonts w:ascii="Arial" w:eastAsia="Arial" w:hAnsi="Arial" w:cs="Arial"/>
          <w:b/>
          <w:i/>
          <w:color w:val="000000"/>
          <w:sz w:val="20"/>
          <w:u w:val="single"/>
        </w:rPr>
        <w:t>defend</w:t>
      </w:r>
      <w:r>
        <w:rPr>
          <w:rFonts w:ascii="Arial" w:eastAsia="Arial" w:hAnsi="Arial" w:cs="Arial"/>
          <w:color w:val="000000"/>
          <w:sz w:val="20"/>
        </w:rPr>
        <w:t xml:space="preserve">. </w:t>
      </w:r>
      <w:r>
        <w:rPr>
          <w:rFonts w:ascii="Arial" w:eastAsia="Arial" w:hAnsi="Arial" w:cs="Arial"/>
          <w:vertAlign w:val="superscript"/>
        </w:rPr>
        <w:footnoteReference w:customMarkFollows="1" w:id="32"/>
        <w:t>32</w:t>
      </w:r>
    </w:p>
    <w:p w14:paraId="173C94B5" w14:textId="77777777" w:rsidR="005B512B" w:rsidRDefault="00F032DA">
      <w:pPr>
        <w:spacing w:before="200" w:line="260" w:lineRule="atLeast"/>
        <w:jc w:val="both"/>
      </w:pPr>
      <w:r>
        <w:rPr>
          <w:rFonts w:ascii="Arial" w:eastAsia="Arial" w:hAnsi="Arial" w:cs="Arial"/>
          <w:color w:val="000000"/>
          <w:sz w:val="20"/>
        </w:rPr>
        <w:t xml:space="preserve">In another decision after </w:t>
      </w:r>
      <w:r>
        <w:rPr>
          <w:rFonts w:ascii="Arial" w:eastAsia="Arial" w:hAnsi="Arial" w:cs="Arial"/>
          <w:i/>
          <w:color w:val="000000"/>
          <w:sz w:val="20"/>
        </w:rPr>
        <w:t>Buss</w:t>
      </w:r>
      <w:r>
        <w:rPr>
          <w:rFonts w:ascii="Arial" w:eastAsia="Arial" w:hAnsi="Arial" w:cs="Arial"/>
          <w:color w:val="000000"/>
          <w:sz w:val="20"/>
        </w:rPr>
        <w:t xml:space="preserve">, the court in </w:t>
      </w:r>
      <w:r>
        <w:rPr>
          <w:rFonts w:ascii="Arial" w:eastAsia="Arial" w:hAnsi="Arial" w:cs="Arial"/>
          <w:i/>
          <w:color w:val="000000"/>
          <w:sz w:val="20"/>
        </w:rPr>
        <w:t>Maryland Casualty Company</w:t>
      </w:r>
      <w:r>
        <w:rPr>
          <w:rFonts w:ascii="Arial" w:eastAsia="Arial" w:hAnsi="Arial" w:cs="Arial"/>
          <w:color w:val="000000"/>
          <w:sz w:val="20"/>
        </w:rPr>
        <w:t xml:space="preserve"> v. </w:t>
      </w:r>
      <w:r>
        <w:rPr>
          <w:rFonts w:ascii="Arial" w:eastAsia="Arial" w:hAnsi="Arial" w:cs="Arial"/>
          <w:i/>
          <w:color w:val="000000"/>
          <w:sz w:val="20"/>
        </w:rPr>
        <w:t xml:space="preserve">Nationwide Mutual Insurance </w:t>
      </w:r>
      <w:r>
        <w:rPr>
          <w:rFonts w:ascii="Arial" w:eastAsia="Arial" w:hAnsi="Arial" w:cs="Arial"/>
          <w:i/>
          <w:color w:val="000000"/>
          <w:sz w:val="20"/>
        </w:rPr>
        <w:t>Company</w:t>
      </w:r>
      <w:r>
        <w:rPr>
          <w:rFonts w:ascii="Arial" w:eastAsia="Arial" w:hAnsi="Arial" w:cs="Arial"/>
          <w:color w:val="000000"/>
          <w:sz w:val="20"/>
        </w:rPr>
        <w:t xml:space="preserve"> </w:t>
      </w:r>
      <w:r>
        <w:rPr>
          <w:rFonts w:ascii="Arial" w:eastAsia="Arial" w:hAnsi="Arial" w:cs="Arial"/>
          <w:vertAlign w:val="superscript"/>
        </w:rPr>
        <w:footnoteReference w:customMarkFollows="1" w:id="33"/>
        <w:t>33</w:t>
      </w:r>
      <w:r>
        <w:rPr>
          <w:rFonts w:ascii="Arial" w:eastAsia="Arial" w:hAnsi="Arial" w:cs="Arial"/>
          <w:color w:val="000000"/>
          <w:sz w:val="20"/>
        </w:rPr>
        <w:t xml:space="preserve"> specifically rejected the notion that </w:t>
      </w:r>
      <w:r>
        <w:rPr>
          <w:rFonts w:ascii="Arial" w:eastAsia="Arial" w:hAnsi="Arial" w:cs="Arial"/>
          <w:i/>
          <w:color w:val="000000"/>
          <w:sz w:val="20"/>
        </w:rPr>
        <w:t>Buss</w:t>
      </w:r>
      <w:r>
        <w:rPr>
          <w:rFonts w:ascii="Arial" w:eastAsia="Arial" w:hAnsi="Arial" w:cs="Arial"/>
          <w:color w:val="000000"/>
          <w:sz w:val="20"/>
        </w:rPr>
        <w:t xml:space="preserve"> and the prophylactic </w:t>
      </w:r>
      <w:r>
        <w:rPr>
          <w:rFonts w:ascii="Arial" w:eastAsia="Arial" w:hAnsi="Arial" w:cs="Arial"/>
          <w:b/>
          <w:i/>
          <w:color w:val="000000"/>
          <w:sz w:val="20"/>
          <w:u w:val="single"/>
        </w:rPr>
        <w:t>duty to defend</w:t>
      </w:r>
      <w:r>
        <w:rPr>
          <w:rFonts w:ascii="Arial" w:eastAsia="Arial" w:hAnsi="Arial" w:cs="Arial"/>
          <w:color w:val="000000"/>
          <w:sz w:val="20"/>
        </w:rPr>
        <w:t xml:space="preserve"> uncovered claims has anything to do with division of responsibility among insurers who share a common defense obligation. As the court explained: "Unlike </w:t>
      </w:r>
      <w:r>
        <w:rPr>
          <w:rFonts w:ascii="Arial" w:eastAsia="Arial" w:hAnsi="Arial" w:cs="Arial"/>
          <w:i/>
          <w:color w:val="000000"/>
          <w:sz w:val="20"/>
        </w:rPr>
        <w:t>Buss</w:t>
      </w:r>
      <w:r>
        <w:rPr>
          <w:rFonts w:ascii="Arial" w:eastAsia="Arial" w:hAnsi="Arial" w:cs="Arial"/>
          <w:color w:val="000000"/>
          <w:sz w:val="20"/>
        </w:rPr>
        <w:t>, the is</w:t>
      </w:r>
      <w:r>
        <w:rPr>
          <w:rFonts w:ascii="Arial" w:eastAsia="Arial" w:hAnsi="Arial" w:cs="Arial"/>
          <w:color w:val="000000"/>
          <w:sz w:val="20"/>
        </w:rPr>
        <w:t xml:space="preserve">sue here is not the scope of Nationwide's </w:t>
      </w:r>
      <w:r>
        <w:rPr>
          <w:rFonts w:ascii="Arial" w:eastAsia="Arial" w:hAnsi="Arial" w:cs="Arial"/>
          <w:b/>
          <w:i/>
          <w:color w:val="000000"/>
          <w:sz w:val="20"/>
          <w:u w:val="single"/>
        </w:rPr>
        <w:t>duty to defend</w:t>
      </w:r>
      <w:r>
        <w:rPr>
          <w:rFonts w:ascii="Arial" w:eastAsia="Arial" w:hAnsi="Arial" w:cs="Arial"/>
          <w:color w:val="000000"/>
          <w:sz w:val="20"/>
        </w:rPr>
        <w:t xml:space="preserve">. It is allocation of costs among several insurers </w:t>
      </w:r>
      <w:r>
        <w:rPr>
          <w:rFonts w:ascii="Arial" w:eastAsia="Arial" w:hAnsi="Arial" w:cs="Arial"/>
          <w:i/>
          <w:color w:val="000000"/>
          <w:sz w:val="20"/>
        </w:rPr>
        <w:t xml:space="preserve">each of which had a </w:t>
      </w:r>
      <w:r>
        <w:rPr>
          <w:rFonts w:ascii="Arial" w:eastAsia="Arial" w:hAnsi="Arial" w:cs="Arial"/>
          <w:b/>
          <w:i/>
          <w:color w:val="000000"/>
          <w:sz w:val="20"/>
          <w:u w:val="single"/>
        </w:rPr>
        <w:t>duty to defend</w:t>
      </w:r>
      <w:r>
        <w:rPr>
          <w:rFonts w:ascii="Arial" w:eastAsia="Arial" w:hAnsi="Arial" w:cs="Arial"/>
          <w:color w:val="000000"/>
          <w:sz w:val="20"/>
        </w:rPr>
        <w:t xml:space="preserve">." </w:t>
      </w:r>
      <w:r>
        <w:rPr>
          <w:rFonts w:ascii="Arial" w:eastAsia="Arial" w:hAnsi="Arial" w:cs="Arial"/>
          <w:vertAlign w:val="superscript"/>
        </w:rPr>
        <w:footnoteReference w:customMarkFollows="1" w:id="34"/>
        <w:t>34</w:t>
      </w:r>
      <w:r>
        <w:rPr>
          <w:rFonts w:ascii="Arial" w:eastAsia="Arial" w:hAnsi="Arial" w:cs="Arial"/>
          <w:color w:val="000000"/>
          <w:sz w:val="20"/>
        </w:rPr>
        <w:t xml:space="preserve"> And when it remanded the case for the trial court's consideration of the equitable contribution issue, the ap</w:t>
      </w:r>
      <w:r>
        <w:rPr>
          <w:rFonts w:ascii="Arial" w:eastAsia="Arial" w:hAnsi="Arial" w:cs="Arial"/>
          <w:color w:val="000000"/>
          <w:sz w:val="20"/>
        </w:rPr>
        <w:t xml:space="preserve">pellate court instructed the trial court to consider all relevant factors, including the scope of coverage afforded by the various policies. </w:t>
      </w:r>
      <w:r>
        <w:rPr>
          <w:rFonts w:ascii="Arial" w:eastAsia="Arial" w:hAnsi="Arial" w:cs="Arial"/>
          <w:vertAlign w:val="superscript"/>
        </w:rPr>
        <w:footnoteReference w:customMarkFollows="1" w:id="35"/>
        <w:t>35</w:t>
      </w:r>
    </w:p>
    <w:p w14:paraId="0A21B01C" w14:textId="77777777" w:rsidR="005B512B" w:rsidRDefault="00F032DA">
      <w:pPr>
        <w:spacing w:before="200" w:line="260" w:lineRule="atLeast"/>
        <w:jc w:val="both"/>
      </w:pPr>
      <w:r>
        <w:rPr>
          <w:rFonts w:ascii="Arial" w:eastAsia="Arial" w:hAnsi="Arial" w:cs="Arial"/>
          <w:color w:val="000000"/>
          <w:sz w:val="20"/>
        </w:rPr>
        <w:t xml:space="preserve">In another post-Buss decision, </w:t>
      </w:r>
      <w:r>
        <w:rPr>
          <w:rFonts w:ascii="Arial" w:eastAsia="Arial" w:hAnsi="Arial" w:cs="Arial"/>
          <w:i/>
          <w:color w:val="000000"/>
          <w:sz w:val="20"/>
        </w:rPr>
        <w:t>Centennial Insurance Company</w:t>
      </w:r>
      <w:r>
        <w:rPr>
          <w:rFonts w:ascii="Arial" w:eastAsia="Arial" w:hAnsi="Arial" w:cs="Arial"/>
          <w:color w:val="000000"/>
          <w:sz w:val="20"/>
        </w:rPr>
        <w:t xml:space="preserve"> v. </w:t>
      </w:r>
      <w:r>
        <w:rPr>
          <w:rFonts w:ascii="Arial" w:eastAsia="Arial" w:hAnsi="Arial" w:cs="Arial"/>
          <w:i/>
          <w:color w:val="000000"/>
          <w:sz w:val="20"/>
        </w:rPr>
        <w:t>United States Fire Insurance Company</w:t>
      </w:r>
      <w:r>
        <w:rPr>
          <w:rFonts w:ascii="Arial" w:eastAsia="Arial" w:hAnsi="Arial" w:cs="Arial"/>
          <w:color w:val="000000"/>
          <w:sz w:val="20"/>
        </w:rPr>
        <w:t xml:space="preserve">, </w:t>
      </w:r>
      <w:r>
        <w:rPr>
          <w:rFonts w:ascii="Arial" w:eastAsia="Arial" w:hAnsi="Arial" w:cs="Arial"/>
          <w:vertAlign w:val="superscript"/>
        </w:rPr>
        <w:footnoteReference w:customMarkFollows="1" w:id="36"/>
        <w:t>36</w:t>
      </w:r>
      <w:r>
        <w:rPr>
          <w:rFonts w:ascii="Arial" w:eastAsia="Arial" w:hAnsi="Arial" w:cs="Arial"/>
          <w:color w:val="000000"/>
          <w:sz w:val="20"/>
        </w:rPr>
        <w:t xml:space="preserve"> the cour</w:t>
      </w:r>
      <w:r>
        <w:rPr>
          <w:rFonts w:ascii="Arial" w:eastAsia="Arial" w:hAnsi="Arial" w:cs="Arial"/>
          <w:color w:val="000000"/>
          <w:sz w:val="20"/>
        </w:rPr>
        <w:t xml:space="preserve">t refused to equitably allocate defense fees and expenses among coinsurers based on an equal shares approach. In </w:t>
      </w:r>
      <w:r>
        <w:rPr>
          <w:rFonts w:ascii="Arial" w:eastAsia="Arial" w:hAnsi="Arial" w:cs="Arial"/>
          <w:i/>
          <w:color w:val="000000"/>
          <w:sz w:val="20"/>
        </w:rPr>
        <w:t>Centennial</w:t>
      </w:r>
      <w:r>
        <w:rPr>
          <w:rFonts w:ascii="Arial" w:eastAsia="Arial" w:hAnsi="Arial" w:cs="Arial"/>
          <w:color w:val="000000"/>
          <w:sz w:val="20"/>
        </w:rPr>
        <w:t xml:space="preserve">, the court concluded: "The time on the risk method was much more equitable than the equal shares approach." </w:t>
      </w:r>
      <w:r>
        <w:rPr>
          <w:rFonts w:ascii="Arial" w:eastAsia="Arial" w:hAnsi="Arial" w:cs="Arial"/>
          <w:vertAlign w:val="superscript"/>
        </w:rPr>
        <w:footnoteReference w:customMarkFollows="1" w:id="37"/>
        <w:t>37</w:t>
      </w:r>
    </w:p>
    <w:p w14:paraId="496DD92B" w14:textId="77777777" w:rsidR="005B512B" w:rsidRDefault="00F032DA">
      <w:pPr>
        <w:spacing w:before="200" w:line="260" w:lineRule="atLeast"/>
        <w:jc w:val="both"/>
      </w:pPr>
      <w:r>
        <w:rPr>
          <w:rFonts w:ascii="Arial" w:eastAsia="Arial" w:hAnsi="Arial" w:cs="Arial"/>
          <w:color w:val="000000"/>
          <w:sz w:val="20"/>
        </w:rPr>
        <w:t xml:space="preserve">Even after </w:t>
      </w:r>
      <w:r>
        <w:rPr>
          <w:rFonts w:ascii="Arial" w:eastAsia="Arial" w:hAnsi="Arial" w:cs="Arial"/>
          <w:b/>
          <w:i/>
          <w:color w:val="000000"/>
          <w:sz w:val="20"/>
          <w:u w:val="single"/>
        </w:rPr>
        <w:t>Presley</w:t>
      </w:r>
      <w:r>
        <w:rPr>
          <w:rFonts w:ascii="Arial" w:eastAsia="Arial" w:hAnsi="Arial" w:cs="Arial"/>
          <w:color w:val="000000"/>
          <w:sz w:val="20"/>
        </w:rPr>
        <w:t>, C</w:t>
      </w:r>
      <w:r>
        <w:rPr>
          <w:rFonts w:ascii="Arial" w:eastAsia="Arial" w:hAnsi="Arial" w:cs="Arial"/>
          <w:color w:val="000000"/>
          <w:sz w:val="20"/>
        </w:rPr>
        <w:t xml:space="preserve">alifornia courts continue to hold that "there is no single method of allocating defense or indemnity costs among co-insurers." </w:t>
      </w:r>
      <w:r>
        <w:rPr>
          <w:rFonts w:ascii="Arial" w:eastAsia="Arial" w:hAnsi="Arial" w:cs="Arial"/>
          <w:vertAlign w:val="superscript"/>
        </w:rPr>
        <w:footnoteReference w:customMarkFollows="1" w:id="38"/>
        <w:t>38</w:t>
      </w:r>
      <w:r>
        <w:rPr>
          <w:rFonts w:ascii="Arial" w:eastAsia="Arial" w:hAnsi="Arial" w:cs="Arial"/>
          <w:color w:val="000000"/>
          <w:sz w:val="20"/>
        </w:rPr>
        <w:t xml:space="preserve"> So the fact that each insurer with a </w:t>
      </w:r>
      <w:r>
        <w:rPr>
          <w:rFonts w:ascii="Arial" w:eastAsia="Arial" w:hAnsi="Arial" w:cs="Arial"/>
          <w:b/>
          <w:i/>
          <w:color w:val="000000"/>
          <w:sz w:val="20"/>
          <w:u w:val="single"/>
        </w:rPr>
        <w:t>duty to defend</w:t>
      </w:r>
      <w:r>
        <w:rPr>
          <w:rFonts w:ascii="Arial" w:eastAsia="Arial" w:hAnsi="Arial" w:cs="Arial"/>
          <w:color w:val="000000"/>
          <w:sz w:val="20"/>
        </w:rPr>
        <w:t xml:space="preserve"> has a prophylactic </w:t>
      </w:r>
      <w:r>
        <w:rPr>
          <w:rFonts w:ascii="Arial" w:eastAsia="Arial" w:hAnsi="Arial" w:cs="Arial"/>
          <w:b/>
          <w:i/>
          <w:color w:val="000000"/>
          <w:sz w:val="20"/>
          <w:u w:val="single"/>
        </w:rPr>
        <w:t>duty to defend</w:t>
      </w:r>
      <w:r>
        <w:rPr>
          <w:rFonts w:ascii="Arial" w:eastAsia="Arial" w:hAnsi="Arial" w:cs="Arial"/>
          <w:color w:val="000000"/>
          <w:sz w:val="20"/>
        </w:rPr>
        <w:t xml:space="preserve"> uncovered claims does not mean that ever</w:t>
      </w:r>
      <w:r>
        <w:rPr>
          <w:rFonts w:ascii="Arial" w:eastAsia="Arial" w:hAnsi="Arial" w:cs="Arial"/>
          <w:color w:val="000000"/>
          <w:sz w:val="20"/>
        </w:rPr>
        <w:t xml:space="preserve">y insurer will ultimately have the same defense obligation. The prophylactic </w:t>
      </w:r>
      <w:r>
        <w:rPr>
          <w:rFonts w:ascii="Arial" w:eastAsia="Arial" w:hAnsi="Arial" w:cs="Arial"/>
          <w:b/>
          <w:i/>
          <w:color w:val="000000"/>
          <w:sz w:val="20"/>
          <w:u w:val="single"/>
        </w:rPr>
        <w:t>duty to defend</w:t>
      </w:r>
      <w:r>
        <w:rPr>
          <w:rFonts w:ascii="Arial" w:eastAsia="Arial" w:hAnsi="Arial" w:cs="Arial"/>
          <w:color w:val="000000"/>
          <w:sz w:val="20"/>
        </w:rPr>
        <w:t>, after all, includes the right to seek reimbursement of fees that are allocable to uncovered claims.</w:t>
      </w:r>
    </w:p>
    <w:p w14:paraId="16312CE7" w14:textId="77777777" w:rsidR="005B512B" w:rsidRDefault="00F032DA">
      <w:pPr>
        <w:spacing w:before="200" w:line="260" w:lineRule="atLeast"/>
        <w:jc w:val="both"/>
      </w:pPr>
      <w:r>
        <w:rPr>
          <w:rFonts w:ascii="Arial" w:eastAsia="Arial" w:hAnsi="Arial" w:cs="Arial"/>
          <w:color w:val="000000"/>
          <w:sz w:val="20"/>
        </w:rPr>
        <w:t xml:space="preserve">Like </w:t>
      </w:r>
      <w:r>
        <w:rPr>
          <w:rFonts w:ascii="Arial" w:eastAsia="Arial" w:hAnsi="Arial" w:cs="Arial"/>
          <w:i/>
          <w:color w:val="000000"/>
          <w:sz w:val="20"/>
        </w:rPr>
        <w:t xml:space="preserve">Buss, </w:t>
      </w:r>
      <w:r>
        <w:rPr>
          <w:rFonts w:ascii="Arial" w:eastAsia="Arial" w:hAnsi="Arial" w:cs="Arial"/>
          <w:b/>
          <w:i/>
          <w:color w:val="000000"/>
          <w:sz w:val="20"/>
          <w:u w:val="single"/>
        </w:rPr>
        <w:t>Presley</w:t>
      </w:r>
      <w:r>
        <w:rPr>
          <w:rFonts w:ascii="Arial" w:eastAsia="Arial" w:hAnsi="Arial" w:cs="Arial"/>
          <w:color w:val="000000"/>
          <w:sz w:val="20"/>
        </w:rPr>
        <w:t xml:space="preserve"> merely reiterates a rule that increases the </w:t>
      </w:r>
      <w:r>
        <w:rPr>
          <w:rFonts w:ascii="Arial" w:eastAsia="Arial" w:hAnsi="Arial" w:cs="Arial"/>
          <w:color w:val="000000"/>
          <w:sz w:val="20"/>
        </w:rPr>
        <w:t xml:space="preserve">likelihood that policyholders will be fully </w:t>
      </w:r>
      <w:r>
        <w:rPr>
          <w:rFonts w:ascii="Arial" w:eastAsia="Arial" w:hAnsi="Arial" w:cs="Arial"/>
          <w:b/>
          <w:i/>
          <w:color w:val="000000"/>
          <w:sz w:val="20"/>
          <w:u w:val="single"/>
        </w:rPr>
        <w:t>defended</w:t>
      </w:r>
      <w:r>
        <w:rPr>
          <w:rFonts w:ascii="Arial" w:eastAsia="Arial" w:hAnsi="Arial" w:cs="Arial"/>
          <w:color w:val="000000"/>
          <w:sz w:val="20"/>
        </w:rPr>
        <w:t xml:space="preserve">. If multiple insurers are obligated to </w:t>
      </w:r>
      <w:r>
        <w:rPr>
          <w:rFonts w:ascii="Arial" w:eastAsia="Arial" w:hAnsi="Arial" w:cs="Arial"/>
          <w:b/>
          <w:i/>
          <w:color w:val="000000"/>
          <w:sz w:val="20"/>
          <w:u w:val="single"/>
        </w:rPr>
        <w:t>defend</w:t>
      </w:r>
      <w:r>
        <w:rPr>
          <w:rFonts w:ascii="Arial" w:eastAsia="Arial" w:hAnsi="Arial" w:cs="Arial"/>
          <w:color w:val="000000"/>
          <w:sz w:val="20"/>
        </w:rPr>
        <w:t>, however, allocation of defense costs among those insurers will be based on equitable principles that can include an assessment of policy limits, premiums co</w:t>
      </w:r>
      <w:r>
        <w:rPr>
          <w:rFonts w:ascii="Arial" w:eastAsia="Arial" w:hAnsi="Arial" w:cs="Arial"/>
          <w:color w:val="000000"/>
          <w:sz w:val="20"/>
        </w:rPr>
        <w:t>llected, time on the risk, the scope of coverage afforded under the policy, comparative contributions toward settlement, and each insurer's handling of the claim.</w:t>
      </w:r>
    </w:p>
    <w:p w14:paraId="77944B11" w14:textId="77777777" w:rsidR="005B512B" w:rsidRDefault="00F032DA">
      <w:pPr>
        <w:spacing w:before="200" w:line="260" w:lineRule="atLeast"/>
        <w:jc w:val="both"/>
      </w:pPr>
      <w:r>
        <w:rPr>
          <w:rFonts w:ascii="Arial" w:eastAsia="Arial" w:hAnsi="Arial" w:cs="Arial"/>
          <w:b/>
          <w:i/>
          <w:color w:val="000000"/>
          <w:sz w:val="20"/>
          <w:u w:val="single"/>
        </w:rPr>
        <w:t>Presley</w:t>
      </w:r>
      <w:r>
        <w:rPr>
          <w:rFonts w:ascii="Arial" w:eastAsia="Arial" w:hAnsi="Arial" w:cs="Arial"/>
          <w:color w:val="000000"/>
          <w:sz w:val="20"/>
        </w:rPr>
        <w:t xml:space="preserve"> is a helpful decision for additional insureds that are not receiving a full defense f</w:t>
      </w:r>
      <w:r>
        <w:rPr>
          <w:rFonts w:ascii="Arial" w:eastAsia="Arial" w:hAnsi="Arial" w:cs="Arial"/>
          <w:color w:val="000000"/>
          <w:sz w:val="20"/>
        </w:rPr>
        <w:t xml:space="preserve">rom an insurer or group of insurers. The case has nothing to say, however, about situations in which a policyholder is already receiving a full defense from one or more of its insurers. Similarly, </w:t>
      </w:r>
      <w:r>
        <w:rPr>
          <w:rFonts w:ascii="Arial" w:eastAsia="Arial" w:hAnsi="Arial" w:cs="Arial"/>
          <w:b/>
          <w:i/>
          <w:color w:val="000000"/>
          <w:sz w:val="20"/>
          <w:u w:val="single"/>
        </w:rPr>
        <w:t>Presley</w:t>
      </w:r>
      <w:r>
        <w:rPr>
          <w:rFonts w:ascii="Arial" w:eastAsia="Arial" w:hAnsi="Arial" w:cs="Arial"/>
          <w:color w:val="000000"/>
          <w:sz w:val="20"/>
        </w:rPr>
        <w:t xml:space="preserve"> has little to say about equitable contribution amon</w:t>
      </w:r>
      <w:r>
        <w:rPr>
          <w:rFonts w:ascii="Arial" w:eastAsia="Arial" w:hAnsi="Arial" w:cs="Arial"/>
          <w:color w:val="000000"/>
          <w:sz w:val="20"/>
        </w:rPr>
        <w:t xml:space="preserve">g </w:t>
      </w:r>
      <w:r>
        <w:rPr>
          <w:rFonts w:ascii="Arial" w:eastAsia="Arial" w:hAnsi="Arial" w:cs="Arial"/>
          <w:color w:val="000000"/>
          <w:sz w:val="20"/>
        </w:rPr>
        <w:lastRenderedPageBreak/>
        <w:t xml:space="preserve">cocarriers. Although equal shares may be a fair and equitable approach to dividing fees and expenses in some situations, </w:t>
      </w:r>
      <w:r>
        <w:rPr>
          <w:rFonts w:ascii="Arial" w:eastAsia="Arial" w:hAnsi="Arial" w:cs="Arial"/>
          <w:b/>
          <w:i/>
          <w:color w:val="000000"/>
          <w:sz w:val="20"/>
          <w:u w:val="single"/>
        </w:rPr>
        <w:t>Presley</w:t>
      </w:r>
      <w:r>
        <w:rPr>
          <w:rFonts w:ascii="Arial" w:eastAsia="Arial" w:hAnsi="Arial" w:cs="Arial"/>
          <w:color w:val="000000"/>
          <w:sz w:val="20"/>
        </w:rPr>
        <w:t xml:space="preserve"> does not mandate that approach.</w:t>
      </w:r>
    </w:p>
    <w:p w14:paraId="0F10D160" w14:textId="77777777" w:rsidR="005B512B" w:rsidRDefault="00F032DA">
      <w:pPr>
        <w:spacing w:before="200" w:line="260" w:lineRule="atLeast"/>
        <w:jc w:val="both"/>
      </w:pPr>
      <w:r>
        <w:rPr>
          <w:rFonts w:ascii="Arial" w:eastAsia="Arial" w:hAnsi="Arial" w:cs="Arial"/>
          <w:color w:val="000000"/>
          <w:sz w:val="20"/>
        </w:rPr>
        <w:t xml:space="preserve">Considering its modest holding, </w:t>
      </w:r>
      <w:r>
        <w:rPr>
          <w:rFonts w:ascii="Arial" w:eastAsia="Arial" w:hAnsi="Arial" w:cs="Arial"/>
          <w:b/>
          <w:i/>
          <w:color w:val="000000"/>
          <w:sz w:val="20"/>
          <w:u w:val="single"/>
        </w:rPr>
        <w:t>Presley</w:t>
      </w:r>
      <w:r>
        <w:rPr>
          <w:rFonts w:ascii="Arial" w:eastAsia="Arial" w:hAnsi="Arial" w:cs="Arial"/>
          <w:color w:val="000000"/>
          <w:sz w:val="20"/>
        </w:rPr>
        <w:t xml:space="preserve"> has received too much attention, and it is probably c</w:t>
      </w:r>
      <w:r>
        <w:rPr>
          <w:rFonts w:ascii="Arial" w:eastAsia="Arial" w:hAnsi="Arial" w:cs="Arial"/>
          <w:color w:val="000000"/>
          <w:sz w:val="20"/>
        </w:rPr>
        <w:t xml:space="preserve">ited too frequently. Attorneys who deal with construction-defect-related coverage issues might be able to better serve their clients by identifying and citing cases that address the issues they are debating. </w:t>
      </w:r>
      <w:r>
        <w:rPr>
          <w:rFonts w:ascii="Arial" w:eastAsia="Arial" w:hAnsi="Arial" w:cs="Arial"/>
          <w:b/>
          <w:i/>
          <w:color w:val="000000"/>
          <w:sz w:val="20"/>
          <w:u w:val="single"/>
        </w:rPr>
        <w:t>Presley</w:t>
      </w:r>
      <w:r>
        <w:rPr>
          <w:rFonts w:ascii="Arial" w:eastAsia="Arial" w:hAnsi="Arial" w:cs="Arial"/>
          <w:color w:val="000000"/>
          <w:sz w:val="20"/>
        </w:rPr>
        <w:t xml:space="preserve"> is not going to do much good if the insu</w:t>
      </w:r>
      <w:r>
        <w:rPr>
          <w:rFonts w:ascii="Arial" w:eastAsia="Arial" w:hAnsi="Arial" w:cs="Arial"/>
          <w:color w:val="000000"/>
          <w:sz w:val="20"/>
        </w:rPr>
        <w:t>red is already receiving an insurer-funded defense or if equitable allocation among coinsurers is involved.</w:t>
      </w:r>
    </w:p>
    <w:p w14:paraId="133D0FA4" w14:textId="77777777" w:rsidR="005B512B" w:rsidRDefault="00F032DA">
      <w:pPr>
        <w:spacing w:before="240" w:line="220" w:lineRule="atLeast"/>
      </w:pPr>
      <w:r>
        <w:br/>
      </w:r>
      <w:r>
        <w:rPr>
          <w:rFonts w:ascii="Arial" w:eastAsia="Arial" w:hAnsi="Arial" w:cs="Arial"/>
          <w:color w:val="000000"/>
          <w:sz w:val="16"/>
        </w:rPr>
        <w:t>Los Angeles Lawyer</w:t>
      </w:r>
    </w:p>
    <w:p w14:paraId="288DD029" w14:textId="77777777" w:rsidR="005B512B" w:rsidRDefault="00F032DA">
      <w:pPr>
        <w:spacing w:line="220" w:lineRule="atLeast"/>
      </w:pPr>
      <w:r>
        <w:rPr>
          <w:rFonts w:ascii="Arial" w:eastAsia="Arial" w:hAnsi="Arial" w:cs="Arial"/>
          <w:color w:val="000000"/>
          <w:sz w:val="16"/>
        </w:rPr>
        <w:t>Copyright (c) 2002 Los Angeles County Bar Association</w:t>
      </w:r>
    </w:p>
    <w:p w14:paraId="6377769B" w14:textId="77777777" w:rsidR="005B512B" w:rsidRDefault="005B512B"/>
    <w:p w14:paraId="790DFD9C" w14:textId="2420D9BB" w:rsidR="005B512B" w:rsidRDefault="00F032DA">
      <w:pPr>
        <w:ind w:left="200"/>
      </w:pPr>
      <w:r>
        <w:br/>
      </w:r>
      <w:r w:rsidR="008A6223">
        <w:rPr>
          <w:noProof/>
          <w:lang w:eastAsia="zh-CN"/>
        </w:rPr>
        <mc:AlternateContent>
          <mc:Choice Requires="wps">
            <w:drawing>
              <wp:anchor distT="0" distB="0" distL="114300" distR="114300" simplePos="0" relativeHeight="251659264" behindDoc="0" locked="0" layoutInCell="1" allowOverlap="1" wp14:anchorId="6E91753C" wp14:editId="314AF835">
                <wp:simplePos x="0" y="0"/>
                <wp:positionH relativeFrom="column">
                  <wp:posOffset>0</wp:posOffset>
                </wp:positionH>
                <wp:positionV relativeFrom="paragraph">
                  <wp:posOffset>127000</wp:posOffset>
                </wp:positionV>
                <wp:extent cx="6502400" cy="0"/>
                <wp:effectExtent l="12700" t="1270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BF3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" strokeweight="1pt"/>
            </w:pict>
          </mc:Fallback>
        </mc:AlternateContent>
      </w:r>
      <w:r>
        <w:rPr>
          <w:b/>
          <w:color w:val="767676"/>
          <w:sz w:val="16"/>
        </w:rPr>
        <w:t>End of Document</w:t>
      </w:r>
    </w:p>
    <w:sectPr w:rsidR="005B512B">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263AC" w14:textId="77777777" w:rsidR="00F032DA" w:rsidRDefault="00F032DA">
      <w:r>
        <w:separator/>
      </w:r>
    </w:p>
  </w:endnote>
  <w:endnote w:type="continuationSeparator" w:id="0">
    <w:p w14:paraId="19402B41" w14:textId="77777777" w:rsidR="00F032DA" w:rsidRDefault="00F0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0" w:type="dxa"/>
      <w:jc w:val="center"/>
      <w:tblLayout w:type="fixed"/>
      <w:tblLook w:val="04A0" w:firstRow="1" w:lastRow="0" w:firstColumn="1" w:lastColumn="0" w:noHBand="0" w:noVBand="1"/>
    </w:tblPr>
    <w:tblGrid>
      <w:gridCol w:w="10240"/>
    </w:tblGrid>
    <w:tr w:rsidR="005B512B" w14:paraId="3085919B" w14:textId="77777777">
      <w:trPr>
        <w:trHeight w:val="15"/>
        <w:jc w:val="center"/>
      </w:trPr>
      <w:tc>
        <w:tcPr>
          <w:tcW w:w="10240" w:type="dxa"/>
          <w:shd w:val="solid" w:color="000000" w:fill="000000"/>
        </w:tcPr>
        <w:p w14:paraId="1E5EA8FC" w14:textId="77777777" w:rsidR="005B512B" w:rsidRDefault="005B512B">
          <w:pPr>
            <w:spacing w:line="40" w:lineRule="exact"/>
            <w:jc w:val="both"/>
          </w:pPr>
        </w:p>
      </w:tc>
    </w:tr>
  </w:tbl>
  <w:p w14:paraId="0F2FBAC8" w14:textId="77777777" w:rsidR="005B512B" w:rsidRDefault="005B512B">
    <w:pPr>
      <w:spacing w:line="40" w:lineRule="exact"/>
      <w:jc w:val="both"/>
    </w:pPr>
  </w:p>
  <w:tbl>
    <w:tblPr>
      <w:tblW w:w="10240" w:type="dxa"/>
      <w:jc w:val="center"/>
      <w:tblLayout w:type="fixed"/>
      <w:tblLook w:val="04A0" w:firstRow="1" w:lastRow="0" w:firstColumn="1" w:lastColumn="0" w:noHBand="0" w:noVBand="1"/>
    </w:tblPr>
    <w:tblGrid>
      <w:gridCol w:w="10240"/>
    </w:tblGrid>
    <w:tr w:rsidR="005B512B" w14:paraId="3FE51901" w14:textId="77777777">
      <w:trPr>
        <w:trHeight w:val="480"/>
        <w:jc w:val="center"/>
      </w:trPr>
      <w:tc>
        <w:tcPr>
          <w:tcW w:w="10240" w:type="dxa"/>
          <w:vAlign w:val="center"/>
        </w:tcPr>
        <w:p w14:paraId="351D4B78" w14:textId="594182F1" w:rsidR="005B512B" w:rsidRDefault="008A6223">
          <w:pPr>
            <w:spacing w:line="260" w:lineRule="atLeast"/>
            <w:jc w:val="center"/>
          </w:pPr>
          <w:r>
            <w:rPr>
              <w:noProof/>
              <w:lang w:eastAsia="zh-CN"/>
            </w:rPr>
            <w:drawing>
              <wp:inline distT="0" distB="0" distL="0" distR="0" wp14:anchorId="7E9FCC16" wp14:editId="73D1F8C5">
                <wp:extent cx="876300" cy="203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203200"/>
                        </a:xfrm>
                        <a:prstGeom prst="rect">
                          <a:avLst/>
                        </a:prstGeom>
                        <a:noFill/>
                        <a:ln>
                          <a:noFill/>
                        </a:ln>
                      </pic:spPr>
                    </pic:pic>
                  </a:graphicData>
                </a:graphic>
              </wp:inline>
            </w:drawing>
          </w:r>
          <w:r w:rsidR="00F032DA">
            <w:rPr>
              <w:rFonts w:ascii="Arial" w:eastAsia="Arial" w:hAnsi="Arial" w:cs="Arial"/>
              <w:color w:val="000000"/>
              <w:position w:val="10"/>
              <w:sz w:val="18"/>
            </w:rPr>
            <w:t xml:space="preserve">| </w:t>
          </w:r>
          <w:hyperlink r:id="rId2" w:history="1">
            <w:r w:rsidR="00F032DA">
              <w:rPr>
                <w:rFonts w:ascii="Arial" w:eastAsia="Arial" w:hAnsi="Arial" w:cs="Arial"/>
                <w:color w:val="0077CC"/>
                <w:position w:val="10"/>
                <w:sz w:val="18"/>
                <w:u w:val="single"/>
              </w:rPr>
              <w:t>About LexisNexis</w:t>
            </w:r>
          </w:hyperlink>
          <w:r w:rsidR="00F032DA">
            <w:rPr>
              <w:rFonts w:ascii="Arial" w:eastAsia="Arial" w:hAnsi="Arial" w:cs="Arial"/>
              <w:color w:val="000000"/>
              <w:position w:val="10"/>
              <w:sz w:val="18"/>
            </w:rPr>
            <w:t xml:space="preserve"> | </w:t>
          </w:r>
          <w:hyperlink r:id="rId3" w:history="1">
            <w:r w:rsidR="00F032DA">
              <w:rPr>
                <w:rFonts w:ascii="Arial" w:eastAsia="Arial" w:hAnsi="Arial" w:cs="Arial"/>
                <w:color w:val="0077CC"/>
                <w:position w:val="10"/>
                <w:sz w:val="18"/>
                <w:u w:val="single"/>
              </w:rPr>
              <w:t>Privacy Policy</w:t>
            </w:r>
          </w:hyperlink>
          <w:r w:rsidR="00F032DA">
            <w:rPr>
              <w:rFonts w:ascii="Arial" w:eastAsia="Arial" w:hAnsi="Arial" w:cs="Arial"/>
              <w:color w:val="000000"/>
              <w:position w:val="10"/>
              <w:sz w:val="18"/>
            </w:rPr>
            <w:t xml:space="preserve"> | </w:t>
          </w:r>
          <w:hyperlink r:id="rId4" w:history="1">
            <w:r w:rsidR="00F032DA">
              <w:rPr>
                <w:rFonts w:ascii="Arial" w:eastAsia="Arial" w:hAnsi="Arial" w:cs="Arial"/>
                <w:color w:val="0077CC"/>
                <w:position w:val="10"/>
                <w:sz w:val="18"/>
                <w:u w:val="single"/>
              </w:rPr>
              <w:t>Terms &amp; Conditions</w:t>
            </w:r>
          </w:hyperlink>
          <w:r w:rsidR="00F032DA">
            <w:rPr>
              <w:rFonts w:ascii="Arial" w:eastAsia="Arial" w:hAnsi="Arial" w:cs="Arial"/>
              <w:color w:val="000000"/>
              <w:position w:val="10"/>
              <w:sz w:val="18"/>
            </w:rPr>
            <w:t xml:space="preserve"> | </w:t>
          </w:r>
          <w:hyperlink r:id="rId5" w:history="1">
            <w:r w:rsidR="00F032DA">
              <w:rPr>
                <w:rFonts w:ascii="Arial" w:eastAsia="Arial" w:hAnsi="Arial" w:cs="Arial"/>
                <w:color w:val="0077CC"/>
                <w:position w:val="10"/>
                <w:sz w:val="18"/>
                <w:u w:val="single"/>
              </w:rPr>
              <w:t>Copyright © 2018 LexisNexis</w:t>
            </w:r>
          </w:hyperlink>
        </w:p>
      </w:tc>
    </w:tr>
    <w:tr w:rsidR="005B512B" w14:paraId="515FC65B" w14:textId="77777777">
      <w:trPr>
        <w:trHeight w:val="620"/>
        <w:jc w:val="center"/>
      </w:trPr>
      <w:tc>
        <w:tcPr>
          <w:tcW w:w="10240" w:type="dxa"/>
        </w:tcPr>
        <w:p w14:paraId="52FD101B" w14:textId="77777777" w:rsidR="005B512B" w:rsidRDefault="005B512B">
          <w:pPr>
            <w:spacing w:line="260" w:lineRule="atLeast"/>
            <w:jc w:val="center"/>
          </w:pP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04F2" w14:textId="77777777" w:rsidR="005B512B" w:rsidRDefault="005B512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5B512B" w14:paraId="0785512A" w14:textId="77777777">
      <w:trPr>
        <w:jc w:val="center"/>
      </w:trPr>
      <w:tc>
        <w:tcPr>
          <w:tcW w:w="2600" w:type="dxa"/>
          <w:tcMar>
            <w:top w:w="200" w:type="dxa"/>
          </w:tcMar>
          <w:vAlign w:val="center"/>
        </w:tcPr>
        <w:p w14:paraId="0044DF14" w14:textId="77777777" w:rsidR="005B512B" w:rsidRDefault="005B512B"/>
      </w:tc>
      <w:tc>
        <w:tcPr>
          <w:tcW w:w="4880" w:type="dxa"/>
          <w:tcMar>
            <w:top w:w="200" w:type="dxa"/>
          </w:tcMar>
          <w:vAlign w:val="center"/>
        </w:tcPr>
        <w:p w14:paraId="6D2EBE35" w14:textId="77777777" w:rsidR="005B512B" w:rsidRDefault="005B512B">
          <w:pPr>
            <w:jc w:val="center"/>
          </w:pPr>
        </w:p>
      </w:tc>
      <w:tc>
        <w:tcPr>
          <w:tcW w:w="2600" w:type="dxa"/>
          <w:tcMar>
            <w:top w:w="200" w:type="dxa"/>
          </w:tcMar>
          <w:vAlign w:val="center"/>
        </w:tcPr>
        <w:p w14:paraId="3543DD15" w14:textId="77777777" w:rsidR="005B512B" w:rsidRDefault="005B512B"/>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5778" w14:textId="77777777" w:rsidR="005B512B" w:rsidRDefault="005B512B">
    <w:pPr>
      <w:spacing w:before="20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7AC12" w14:textId="77777777" w:rsidR="00F032DA" w:rsidRDefault="00F032DA">
      <w:r>
        <w:separator/>
      </w:r>
    </w:p>
  </w:footnote>
  <w:footnote w:type="continuationSeparator" w:id="0">
    <w:p w14:paraId="4381DC34" w14:textId="77777777" w:rsidR="00F032DA" w:rsidRDefault="00F032DA">
      <w:r>
        <w:continuationSeparator/>
      </w:r>
    </w:p>
  </w:footnote>
  <w:footnote w:id="1">
    <w:p w14:paraId="53657289" w14:textId="77777777" w:rsidR="005B512B" w:rsidRDefault="00F032DA">
      <w:pPr>
        <w:spacing w:before="240" w:line="240" w:lineRule="atLeast"/>
        <w:jc w:val="both"/>
      </w:pPr>
      <w:r>
        <w:rPr>
          <w:rFonts w:ascii="Arial" w:eastAsia="Arial" w:hAnsi="Arial" w:cs="Arial"/>
          <w:color w:val="000000"/>
          <w:sz w:val="18"/>
          <w:vertAlign w:val="superscript"/>
        </w:rPr>
        <w:t>1 </w:t>
      </w:r>
      <w:hyperlink r:id="rId1" w:history="1">
        <w:r>
          <w:rPr>
            <w:rFonts w:ascii="Arial" w:eastAsia="Arial" w:hAnsi="Arial" w:cs="Arial"/>
            <w:b/>
            <w:i/>
            <w:color w:val="0077CC"/>
            <w:sz w:val="18"/>
            <w:u w:val="single"/>
          </w:rPr>
          <w:t>Presley</w:t>
        </w:r>
      </w:hyperlink>
      <w:hyperlink r:id="rId2" w:history="1">
        <w:r>
          <w:rPr>
            <w:rFonts w:ascii="Arial" w:eastAsia="Arial" w:hAnsi="Arial" w:cs="Arial"/>
            <w:i/>
            <w:color w:val="0077CC"/>
            <w:sz w:val="18"/>
            <w:u w:val="single"/>
          </w:rPr>
          <w:t xml:space="preserve"> </w:t>
        </w:r>
      </w:hyperlink>
      <w:hyperlink r:id="rId3" w:history="1">
        <w:r>
          <w:rPr>
            <w:rFonts w:ascii="Arial" w:eastAsia="Arial" w:hAnsi="Arial" w:cs="Arial"/>
            <w:b/>
            <w:i/>
            <w:color w:val="0077CC"/>
            <w:sz w:val="18"/>
            <w:u w:val="single"/>
          </w:rPr>
          <w:t>Homes</w:t>
        </w:r>
      </w:hyperlink>
      <w:hyperlink r:id="rId4" w:history="1">
        <w:r>
          <w:rPr>
            <w:rFonts w:ascii="Arial" w:eastAsia="Arial" w:hAnsi="Arial" w:cs="Arial"/>
            <w:i/>
            <w:color w:val="0077CC"/>
            <w:sz w:val="18"/>
            <w:u w:val="single"/>
          </w:rPr>
          <w:t>, Inc. v. American States Ins. Co., 190 Cal. App. 4th 571 (2001).</w:t>
        </w:r>
      </w:hyperlink>
    </w:p>
  </w:footnote>
  <w:footnote w:id="2">
    <w:p w14:paraId="75E7C610" w14:textId="77777777" w:rsidR="005B512B" w:rsidRDefault="00F032DA">
      <w:pPr>
        <w:spacing w:before="240" w:line="240" w:lineRule="atLeast"/>
        <w:jc w:val="both"/>
      </w:pPr>
      <w:r>
        <w:rPr>
          <w:rFonts w:ascii="Arial" w:eastAsia="Arial" w:hAnsi="Arial" w:cs="Arial"/>
          <w:color w:val="000000"/>
          <w:sz w:val="18"/>
          <w:vertAlign w:val="superscript"/>
        </w:rPr>
        <w:t>2 </w:t>
      </w:r>
      <w:hyperlink r:id="rId5" w:history="1">
        <w:r>
          <w:rPr>
            <w:rFonts w:ascii="Arial" w:eastAsia="Arial" w:hAnsi="Arial" w:cs="Arial"/>
            <w:i/>
            <w:color w:val="0077CC"/>
            <w:sz w:val="18"/>
            <w:u w:val="single"/>
          </w:rPr>
          <w:t>Buss v. Superior Court, 16 Cal. 4th 35 (1997</w:t>
        </w:r>
        <w:r>
          <w:rPr>
            <w:rFonts w:ascii="Arial" w:eastAsia="Arial" w:hAnsi="Arial" w:cs="Arial"/>
            <w:i/>
            <w:color w:val="0077CC"/>
            <w:sz w:val="18"/>
            <w:u w:val="single"/>
          </w:rPr>
          <w:t>).</w:t>
        </w:r>
      </w:hyperlink>
    </w:p>
  </w:footnote>
  <w:footnote w:id="3">
    <w:p w14:paraId="57A63AEA" w14:textId="77777777" w:rsidR="005B512B" w:rsidRDefault="00F032DA">
      <w:pPr>
        <w:spacing w:before="240" w:line="240" w:lineRule="atLeast"/>
        <w:jc w:val="both"/>
      </w:pPr>
      <w:r>
        <w:rPr>
          <w:rFonts w:ascii="Arial" w:eastAsia="Arial" w:hAnsi="Arial" w:cs="Arial"/>
          <w:color w:val="000000"/>
          <w:sz w:val="18"/>
          <w:vertAlign w:val="superscript"/>
        </w:rPr>
        <w:t>3 </w:t>
      </w:r>
      <w:hyperlink r:id="rId6" w:history="1">
        <w:r>
          <w:rPr>
            <w:rFonts w:ascii="Arial" w:eastAsia="Arial" w:hAnsi="Arial" w:cs="Arial"/>
            <w:i/>
            <w:color w:val="0077CC"/>
            <w:sz w:val="18"/>
            <w:u w:val="single"/>
          </w:rPr>
          <w:t>Hogan v. Midland Nat'l Ins. Co., 3 Cal. 3d 553, 564 (1970).</w:t>
        </w:r>
      </w:hyperlink>
    </w:p>
  </w:footnote>
  <w:footnote w:id="4">
    <w:p w14:paraId="1F2EFA74" w14:textId="77777777" w:rsidR="005B512B" w:rsidRDefault="00F032DA">
      <w:pPr>
        <w:spacing w:before="240" w:line="240" w:lineRule="atLeast"/>
        <w:jc w:val="both"/>
      </w:pPr>
      <w:r>
        <w:rPr>
          <w:rFonts w:ascii="Arial" w:eastAsia="Arial" w:hAnsi="Arial" w:cs="Arial"/>
          <w:color w:val="000000"/>
          <w:sz w:val="18"/>
          <w:vertAlign w:val="superscript"/>
        </w:rPr>
        <w:t>4 </w:t>
      </w:r>
      <w:hyperlink r:id="rId7" w:history="1">
        <w:r>
          <w:rPr>
            <w:rFonts w:ascii="Arial" w:eastAsia="Arial" w:hAnsi="Arial" w:cs="Arial"/>
            <w:i/>
            <w:color w:val="0077CC"/>
            <w:sz w:val="18"/>
            <w:u w:val="single"/>
          </w:rPr>
          <w:t>Scottsdale Ins. Co. v. Homestead Land Dev., 145 F.R.D. 523, 536 (N.D. Cal. 1992).</w:t>
        </w:r>
      </w:hyperlink>
    </w:p>
  </w:footnote>
  <w:footnote w:id="5">
    <w:p w14:paraId="684AE6A4" w14:textId="77777777" w:rsidR="005B512B" w:rsidRDefault="00F032DA">
      <w:pPr>
        <w:spacing w:before="240" w:line="240" w:lineRule="atLeast"/>
        <w:jc w:val="both"/>
      </w:pPr>
      <w:r>
        <w:rPr>
          <w:rFonts w:ascii="Arial" w:eastAsia="Arial" w:hAnsi="Arial" w:cs="Arial"/>
          <w:color w:val="000000"/>
          <w:sz w:val="18"/>
          <w:vertAlign w:val="superscript"/>
        </w:rPr>
        <w:t>5 </w:t>
      </w:r>
      <w:hyperlink r:id="rId8" w:history="1">
        <w:r>
          <w:rPr>
            <w:rFonts w:ascii="Arial" w:eastAsia="Arial" w:hAnsi="Arial" w:cs="Arial"/>
            <w:i/>
            <w:color w:val="0077CC"/>
            <w:sz w:val="18"/>
            <w:u w:val="single"/>
          </w:rPr>
          <w:t>Buss, 16 Cal. 4th at 48.</w:t>
        </w:r>
      </w:hyperlink>
    </w:p>
  </w:footnote>
  <w:footnote w:id="6">
    <w:p w14:paraId="1C7F0BC1" w14:textId="77777777" w:rsidR="005B512B" w:rsidRDefault="00F032DA">
      <w:pPr>
        <w:spacing w:before="240" w:line="240" w:lineRule="atLeast"/>
        <w:jc w:val="both"/>
      </w:pPr>
      <w:r>
        <w:rPr>
          <w:rFonts w:ascii="Arial" w:eastAsia="Arial" w:hAnsi="Arial" w:cs="Arial"/>
          <w:color w:val="000000"/>
          <w:sz w:val="18"/>
          <w:vertAlign w:val="superscript"/>
        </w:rPr>
        <w:t>6 </w:t>
      </w:r>
      <w:hyperlink r:id="rId9" w:history="1">
        <w:r>
          <w:rPr>
            <w:rFonts w:ascii="Arial" w:eastAsia="Arial" w:hAnsi="Arial" w:cs="Arial"/>
            <w:i/>
            <w:color w:val="0077CC"/>
            <w:sz w:val="18"/>
            <w:u w:val="single"/>
          </w:rPr>
          <w:t>Id. at 49.</w:t>
        </w:r>
      </w:hyperlink>
    </w:p>
  </w:footnote>
  <w:footnote w:id="7">
    <w:p w14:paraId="50F2AD59" w14:textId="77777777" w:rsidR="005B512B" w:rsidRDefault="00F032DA">
      <w:pPr>
        <w:spacing w:before="240" w:line="240" w:lineRule="atLeast"/>
        <w:jc w:val="both"/>
      </w:pPr>
      <w:r>
        <w:rPr>
          <w:rFonts w:ascii="Arial" w:eastAsia="Arial" w:hAnsi="Arial" w:cs="Arial"/>
          <w:color w:val="000000"/>
          <w:sz w:val="18"/>
          <w:vertAlign w:val="superscript"/>
        </w:rPr>
        <w:t>7 </w:t>
      </w:r>
      <w:r>
        <w:rPr>
          <w:rFonts w:ascii="Arial" w:eastAsia="Arial" w:hAnsi="Arial" w:cs="Arial"/>
          <w:i/>
          <w:color w:val="000000"/>
          <w:sz w:val="18"/>
        </w:rPr>
        <w:t>Buss</w:t>
      </w:r>
      <w:r>
        <w:rPr>
          <w:rFonts w:ascii="Arial" w:eastAsia="Arial" w:hAnsi="Arial" w:cs="Arial"/>
          <w:color w:val="000000"/>
          <w:sz w:val="18"/>
        </w:rPr>
        <w:t xml:space="preserve"> emphasizes a desire to protect insureds that will otherwise "be left defenseless." </w:t>
      </w:r>
      <w:hyperlink r:id="rId10" w:history="1">
        <w:r>
          <w:rPr>
            <w:rFonts w:ascii="Arial" w:eastAsia="Arial" w:hAnsi="Arial" w:cs="Arial"/>
            <w:i/>
            <w:color w:val="0077CC"/>
            <w:sz w:val="18"/>
            <w:u w:val="single"/>
          </w:rPr>
          <w:t>Buss. 16 Cal. 4th at 49 n.11</w:t>
        </w:r>
      </w:hyperlink>
      <w:r>
        <w:rPr>
          <w:rFonts w:ascii="Arial" w:eastAsia="Arial" w:hAnsi="Arial" w:cs="Arial"/>
          <w:color w:val="000000"/>
          <w:sz w:val="18"/>
        </w:rPr>
        <w:t xml:space="preserve"> (citing </w:t>
      </w:r>
      <w:hyperlink r:id="rId11" w:history="1">
        <w:r>
          <w:rPr>
            <w:rFonts w:ascii="Arial" w:eastAsia="Arial" w:hAnsi="Arial" w:cs="Arial"/>
            <w:i/>
            <w:color w:val="0077CC"/>
            <w:sz w:val="18"/>
            <w:u w:val="single"/>
          </w:rPr>
          <w:t>Scottsdale Ins., 145 F.R.D. 523).</w:t>
        </w:r>
      </w:hyperlink>
    </w:p>
  </w:footnote>
  <w:footnote w:id="8">
    <w:p w14:paraId="08F11F0E" w14:textId="77777777" w:rsidR="005B512B" w:rsidRDefault="00F032DA">
      <w:pPr>
        <w:spacing w:before="240" w:line="240" w:lineRule="atLeast"/>
        <w:jc w:val="both"/>
      </w:pPr>
      <w:r>
        <w:rPr>
          <w:rFonts w:ascii="Arial" w:eastAsia="Arial" w:hAnsi="Arial" w:cs="Arial"/>
          <w:color w:val="000000"/>
          <w:sz w:val="18"/>
          <w:vertAlign w:val="superscript"/>
        </w:rPr>
        <w:t>8 </w:t>
      </w:r>
      <w:hyperlink r:id="rId12" w:history="1">
        <w:r>
          <w:rPr>
            <w:rFonts w:ascii="Arial" w:eastAsia="Arial" w:hAnsi="Arial" w:cs="Arial"/>
            <w:i/>
            <w:color w:val="0077CC"/>
            <w:sz w:val="18"/>
            <w:u w:val="single"/>
          </w:rPr>
          <w:t>Buss. 16 Cal. 4th at 50.</w:t>
        </w:r>
      </w:hyperlink>
    </w:p>
  </w:footnote>
  <w:footnote w:id="9">
    <w:p w14:paraId="254108E5" w14:textId="77777777" w:rsidR="005B512B" w:rsidRDefault="00F032DA">
      <w:pPr>
        <w:spacing w:before="240" w:line="240" w:lineRule="atLeast"/>
        <w:jc w:val="both"/>
      </w:pPr>
      <w:r>
        <w:rPr>
          <w:rFonts w:ascii="Arial" w:eastAsia="Arial" w:hAnsi="Arial" w:cs="Arial"/>
          <w:color w:val="000000"/>
          <w:sz w:val="18"/>
          <w:vertAlign w:val="superscript"/>
        </w:rPr>
        <w:t>9 </w:t>
      </w:r>
      <w:hyperlink r:id="rId13" w:history="1">
        <w:r>
          <w:rPr>
            <w:rFonts w:ascii="Arial" w:eastAsia="Arial" w:hAnsi="Arial" w:cs="Arial"/>
            <w:i/>
            <w:color w:val="0077CC"/>
            <w:sz w:val="18"/>
            <w:u w:val="single"/>
          </w:rPr>
          <w:t>Id. at 54.</w:t>
        </w:r>
      </w:hyperlink>
    </w:p>
  </w:footnote>
  <w:footnote w:id="10">
    <w:p w14:paraId="4AFF047E" w14:textId="77777777" w:rsidR="005B512B" w:rsidRDefault="00F032DA">
      <w:pPr>
        <w:spacing w:before="200" w:line="240" w:lineRule="atLeast"/>
        <w:jc w:val="both"/>
      </w:pPr>
      <w:r>
        <w:rPr>
          <w:rFonts w:ascii="Arial" w:eastAsia="Arial" w:hAnsi="Arial" w:cs="Arial"/>
          <w:color w:val="000000"/>
          <w:sz w:val="18"/>
          <w:vertAlign w:val="superscript"/>
        </w:rPr>
        <w:t>10 </w:t>
      </w:r>
      <w:r>
        <w:rPr>
          <w:rFonts w:ascii="Arial" w:eastAsia="Arial" w:hAnsi="Arial" w:cs="Arial"/>
          <w:color w:val="000000"/>
          <w:sz w:val="18"/>
        </w:rPr>
        <w:t xml:space="preserve">In </w:t>
      </w:r>
      <w:hyperlink r:id="rId14" w:history="1">
        <w:r>
          <w:rPr>
            <w:rFonts w:ascii="Arial" w:eastAsia="Arial" w:hAnsi="Arial" w:cs="Arial"/>
            <w:i/>
            <w:color w:val="0077CC"/>
            <w:sz w:val="18"/>
            <w:u w:val="single"/>
          </w:rPr>
          <w:t>Aerojet-General Corp. v. Transport Indem. Co., 17 Cal. 4th 38, 69 (1997),</w:t>
        </w:r>
      </w:hyperlink>
      <w:r>
        <w:rPr>
          <w:rFonts w:ascii="Arial" w:eastAsia="Arial" w:hAnsi="Arial" w:cs="Arial"/>
          <w:color w:val="000000"/>
          <w:sz w:val="18"/>
        </w:rPr>
        <w:t xml:space="preserve"> the supreme court extended the logic of </w:t>
      </w:r>
      <w:r>
        <w:rPr>
          <w:rFonts w:ascii="Arial" w:eastAsia="Arial" w:hAnsi="Arial" w:cs="Arial"/>
          <w:i/>
          <w:color w:val="000000"/>
          <w:sz w:val="18"/>
        </w:rPr>
        <w:t>Buss</w:t>
      </w:r>
      <w:r>
        <w:rPr>
          <w:rFonts w:ascii="Arial" w:eastAsia="Arial" w:hAnsi="Arial" w:cs="Arial"/>
          <w:color w:val="000000"/>
          <w:sz w:val="18"/>
        </w:rPr>
        <w:t>, allowing the p</w:t>
      </w:r>
      <w:r>
        <w:rPr>
          <w:rFonts w:ascii="Arial" w:eastAsia="Arial" w:hAnsi="Arial" w:cs="Arial"/>
          <w:color w:val="000000"/>
          <w:sz w:val="18"/>
        </w:rPr>
        <w:t xml:space="preserve">rophylactic </w:t>
      </w:r>
      <w:r>
        <w:rPr>
          <w:rFonts w:ascii="Arial" w:eastAsia="Arial" w:hAnsi="Arial" w:cs="Arial"/>
          <w:b/>
          <w:i/>
          <w:color w:val="000000"/>
          <w:sz w:val="18"/>
          <w:u w:val="single"/>
        </w:rPr>
        <w:t>duty to defend</w:t>
      </w:r>
      <w:r>
        <w:rPr>
          <w:rFonts w:ascii="Arial" w:eastAsia="Arial" w:hAnsi="Arial" w:cs="Arial"/>
          <w:color w:val="000000"/>
          <w:sz w:val="18"/>
        </w:rPr>
        <w:t xml:space="preserve"> and the right of reimbursement to attach "to a claim, or a part of a claim" that is not potentially covered.</w:t>
      </w:r>
    </w:p>
  </w:footnote>
  <w:footnote w:id="11">
    <w:p w14:paraId="345C44AB" w14:textId="77777777" w:rsidR="005B512B" w:rsidRDefault="00F032DA">
      <w:pPr>
        <w:spacing w:before="240" w:line="240" w:lineRule="atLeast"/>
        <w:jc w:val="both"/>
      </w:pPr>
      <w:r>
        <w:rPr>
          <w:rFonts w:ascii="Arial" w:eastAsia="Arial" w:hAnsi="Arial" w:cs="Arial"/>
          <w:color w:val="000000"/>
          <w:sz w:val="18"/>
          <w:vertAlign w:val="superscript"/>
        </w:rPr>
        <w:t>11 </w:t>
      </w:r>
      <w:hyperlink r:id="rId15" w:history="1">
        <w:r>
          <w:rPr>
            <w:rFonts w:ascii="Arial" w:eastAsia="Arial" w:hAnsi="Arial" w:cs="Arial"/>
            <w:b/>
            <w:i/>
            <w:color w:val="0077CC"/>
            <w:sz w:val="18"/>
            <w:u w:val="single"/>
          </w:rPr>
          <w:t>Presley</w:t>
        </w:r>
      </w:hyperlink>
      <w:hyperlink r:id="rId16" w:history="1">
        <w:r>
          <w:rPr>
            <w:rFonts w:ascii="Arial" w:eastAsia="Arial" w:hAnsi="Arial" w:cs="Arial"/>
            <w:i/>
            <w:color w:val="0077CC"/>
            <w:sz w:val="18"/>
            <w:u w:val="single"/>
          </w:rPr>
          <w:t xml:space="preserve"> </w:t>
        </w:r>
      </w:hyperlink>
      <w:hyperlink r:id="rId17" w:history="1">
        <w:r>
          <w:rPr>
            <w:rFonts w:ascii="Arial" w:eastAsia="Arial" w:hAnsi="Arial" w:cs="Arial"/>
            <w:b/>
            <w:i/>
            <w:color w:val="0077CC"/>
            <w:sz w:val="18"/>
            <w:u w:val="single"/>
          </w:rPr>
          <w:t>Homes</w:t>
        </w:r>
      </w:hyperlink>
      <w:hyperlink r:id="rId18" w:history="1">
        <w:r>
          <w:rPr>
            <w:rFonts w:ascii="Arial" w:eastAsia="Arial" w:hAnsi="Arial" w:cs="Arial"/>
            <w:i/>
            <w:color w:val="0077CC"/>
            <w:sz w:val="18"/>
            <w:u w:val="single"/>
          </w:rPr>
          <w:t>, Inc., 90 Cal. App. 4th at 573-74.</w:t>
        </w:r>
      </w:hyperlink>
    </w:p>
  </w:footnote>
  <w:footnote w:id="12">
    <w:p w14:paraId="52C3275E" w14:textId="77777777" w:rsidR="005B512B" w:rsidRPr="008A6223" w:rsidRDefault="00F032DA">
      <w:pPr>
        <w:spacing w:before="240" w:line="240" w:lineRule="atLeast"/>
        <w:jc w:val="both"/>
        <w:rPr>
          <w:lang w:val="da-DK"/>
        </w:rPr>
      </w:pPr>
      <w:r w:rsidRPr="008A6223">
        <w:rPr>
          <w:rFonts w:ascii="Arial" w:eastAsia="Arial" w:hAnsi="Arial" w:cs="Arial"/>
          <w:color w:val="000000"/>
          <w:sz w:val="18"/>
          <w:vertAlign w:val="superscript"/>
          <w:lang w:val="da-DK"/>
        </w:rPr>
        <w:t>12 </w:t>
      </w:r>
      <w:hyperlink r:id="rId19" w:history="1">
        <w:r w:rsidRPr="008A6223">
          <w:rPr>
            <w:rFonts w:ascii="Arial" w:eastAsia="Arial" w:hAnsi="Arial" w:cs="Arial"/>
            <w:i/>
            <w:color w:val="0077CC"/>
            <w:sz w:val="18"/>
            <w:u w:val="single"/>
            <w:lang w:val="da-DK"/>
          </w:rPr>
          <w:t>Id. at 573.</w:t>
        </w:r>
      </w:hyperlink>
    </w:p>
  </w:footnote>
  <w:footnote w:id="13">
    <w:p w14:paraId="23CA136C" w14:textId="77777777" w:rsidR="005B512B" w:rsidRPr="008A6223" w:rsidRDefault="00F032DA">
      <w:pPr>
        <w:spacing w:before="240" w:line="240" w:lineRule="atLeast"/>
        <w:jc w:val="both"/>
        <w:rPr>
          <w:lang w:val="da-DK"/>
        </w:rPr>
      </w:pPr>
      <w:r w:rsidRPr="008A6223">
        <w:rPr>
          <w:rFonts w:ascii="Arial" w:eastAsia="Arial" w:hAnsi="Arial" w:cs="Arial"/>
          <w:color w:val="000000"/>
          <w:sz w:val="18"/>
          <w:vertAlign w:val="superscript"/>
          <w:lang w:val="da-DK"/>
        </w:rPr>
        <w:t>13 </w:t>
      </w:r>
      <w:hyperlink r:id="rId20" w:history="1">
        <w:r w:rsidRPr="008A6223">
          <w:rPr>
            <w:rFonts w:ascii="Arial" w:eastAsia="Arial" w:hAnsi="Arial" w:cs="Arial"/>
            <w:i/>
            <w:color w:val="0077CC"/>
            <w:sz w:val="18"/>
            <w:u w:val="single"/>
            <w:lang w:val="da-DK"/>
          </w:rPr>
          <w:t>Id. at 574.</w:t>
        </w:r>
      </w:hyperlink>
    </w:p>
  </w:footnote>
  <w:footnote w:id="14">
    <w:p w14:paraId="1A57DAA6" w14:textId="77777777" w:rsidR="005B512B" w:rsidRPr="008A6223" w:rsidRDefault="00F032DA">
      <w:pPr>
        <w:spacing w:before="240" w:line="240" w:lineRule="atLeast"/>
        <w:jc w:val="both"/>
        <w:rPr>
          <w:lang w:val="da-DK"/>
        </w:rPr>
      </w:pPr>
      <w:r w:rsidRPr="008A6223">
        <w:rPr>
          <w:rFonts w:ascii="Arial" w:eastAsia="Arial" w:hAnsi="Arial" w:cs="Arial"/>
          <w:color w:val="000000"/>
          <w:sz w:val="18"/>
          <w:vertAlign w:val="superscript"/>
          <w:lang w:val="da-DK"/>
        </w:rPr>
        <w:t>14 </w:t>
      </w:r>
      <w:hyperlink r:id="rId21" w:history="1">
        <w:r w:rsidRPr="008A6223">
          <w:rPr>
            <w:rFonts w:ascii="Arial" w:eastAsia="Arial" w:hAnsi="Arial" w:cs="Arial"/>
            <w:i/>
            <w:color w:val="0077CC"/>
            <w:sz w:val="18"/>
            <w:u w:val="single"/>
            <w:lang w:val="da-DK"/>
          </w:rPr>
          <w:t>Id. at 576.</w:t>
        </w:r>
      </w:hyperlink>
    </w:p>
  </w:footnote>
  <w:footnote w:id="15">
    <w:p w14:paraId="376BBF90" w14:textId="77777777" w:rsidR="005B512B" w:rsidRDefault="00F032DA">
      <w:pPr>
        <w:spacing w:before="240" w:line="240" w:lineRule="atLeast"/>
        <w:jc w:val="both"/>
      </w:pPr>
      <w:r>
        <w:rPr>
          <w:rFonts w:ascii="Arial" w:eastAsia="Arial" w:hAnsi="Arial" w:cs="Arial"/>
          <w:color w:val="000000"/>
          <w:sz w:val="18"/>
          <w:vertAlign w:val="superscript"/>
        </w:rPr>
        <w:t>15 </w:t>
      </w:r>
      <w:hyperlink r:id="rId22" w:history="1">
        <w:r>
          <w:rPr>
            <w:rFonts w:ascii="Arial" w:eastAsia="Arial" w:hAnsi="Arial" w:cs="Arial"/>
            <w:i/>
            <w:color w:val="0077CC"/>
            <w:sz w:val="18"/>
            <w:u w:val="single"/>
          </w:rPr>
          <w:t>Id. at 576-77.</w:t>
        </w:r>
      </w:hyperlink>
    </w:p>
  </w:footnote>
  <w:footnote w:id="16">
    <w:p w14:paraId="3BA0C610" w14:textId="77777777" w:rsidR="005B512B" w:rsidRDefault="00F032DA">
      <w:pPr>
        <w:spacing w:before="240" w:line="240" w:lineRule="atLeast"/>
        <w:jc w:val="both"/>
      </w:pPr>
      <w:r>
        <w:rPr>
          <w:rFonts w:ascii="Arial" w:eastAsia="Arial" w:hAnsi="Arial" w:cs="Arial"/>
          <w:color w:val="000000"/>
          <w:sz w:val="18"/>
          <w:vertAlign w:val="superscript"/>
        </w:rPr>
        <w:t>16 </w:t>
      </w:r>
      <w:hyperlink r:id="rId23" w:history="1">
        <w:r>
          <w:rPr>
            <w:rFonts w:ascii="Arial" w:eastAsia="Arial" w:hAnsi="Arial" w:cs="Arial"/>
            <w:i/>
            <w:color w:val="0077CC"/>
            <w:sz w:val="18"/>
            <w:u w:val="single"/>
          </w:rPr>
          <w:t xml:space="preserve">Buss </w:t>
        </w:r>
        <w:r>
          <w:rPr>
            <w:rFonts w:ascii="Arial" w:eastAsia="Arial" w:hAnsi="Arial" w:cs="Arial"/>
            <w:i/>
            <w:color w:val="0077CC"/>
            <w:sz w:val="18"/>
            <w:u w:val="single"/>
          </w:rPr>
          <w:t>v. Superior Court, 16 Cal. 4th 35, 42 (1997).</w:t>
        </w:r>
      </w:hyperlink>
    </w:p>
  </w:footnote>
  <w:footnote w:id="17">
    <w:p w14:paraId="21DB29FB" w14:textId="77777777" w:rsidR="005B512B" w:rsidRDefault="00F032DA">
      <w:pPr>
        <w:spacing w:before="240" w:line="240" w:lineRule="atLeast"/>
        <w:jc w:val="both"/>
      </w:pPr>
      <w:r>
        <w:rPr>
          <w:rFonts w:ascii="Arial" w:eastAsia="Arial" w:hAnsi="Arial" w:cs="Arial"/>
          <w:color w:val="000000"/>
          <w:sz w:val="18"/>
          <w:vertAlign w:val="superscript"/>
        </w:rPr>
        <w:t>17 </w:t>
      </w:r>
      <w:hyperlink r:id="rId24" w:history="1">
        <w:r>
          <w:rPr>
            <w:rFonts w:ascii="Arial" w:eastAsia="Arial" w:hAnsi="Arial" w:cs="Arial"/>
            <w:i/>
            <w:color w:val="0077CC"/>
            <w:sz w:val="18"/>
            <w:u w:val="single"/>
          </w:rPr>
          <w:t>Ceresino v. Fire Ins. Exch., 215 Cal. App. 3d 814 (1989).</w:t>
        </w:r>
      </w:hyperlink>
    </w:p>
  </w:footnote>
  <w:footnote w:id="18">
    <w:p w14:paraId="6FE657AD" w14:textId="77777777" w:rsidR="005B512B" w:rsidRDefault="00F032DA">
      <w:pPr>
        <w:spacing w:before="240" w:line="240" w:lineRule="atLeast"/>
        <w:jc w:val="both"/>
      </w:pPr>
      <w:r>
        <w:rPr>
          <w:rFonts w:ascii="Arial" w:eastAsia="Arial" w:hAnsi="Arial" w:cs="Arial"/>
          <w:color w:val="000000"/>
          <w:sz w:val="18"/>
          <w:vertAlign w:val="superscript"/>
        </w:rPr>
        <w:t>18 </w:t>
      </w:r>
      <w:hyperlink r:id="rId25" w:history="1">
        <w:r>
          <w:rPr>
            <w:rFonts w:ascii="Arial" w:eastAsia="Arial" w:hAnsi="Arial" w:cs="Arial"/>
            <w:i/>
            <w:color w:val="0077CC"/>
            <w:sz w:val="18"/>
            <w:u w:val="single"/>
          </w:rPr>
          <w:t>Id. at 832</w:t>
        </w:r>
      </w:hyperlink>
      <w:r>
        <w:rPr>
          <w:rFonts w:ascii="Arial" w:eastAsia="Arial" w:hAnsi="Arial" w:cs="Arial"/>
          <w:color w:val="000000"/>
          <w:sz w:val="18"/>
        </w:rPr>
        <w:t xml:space="preserve"> (emphasis in original).</w:t>
      </w:r>
    </w:p>
  </w:footnote>
  <w:footnote w:id="19">
    <w:p w14:paraId="72BE6B5A" w14:textId="77777777" w:rsidR="005B512B" w:rsidRDefault="00F032DA">
      <w:pPr>
        <w:spacing w:before="240" w:line="240" w:lineRule="atLeast"/>
        <w:jc w:val="both"/>
      </w:pPr>
      <w:r>
        <w:rPr>
          <w:rFonts w:ascii="Arial" w:eastAsia="Arial" w:hAnsi="Arial" w:cs="Arial"/>
          <w:color w:val="000000"/>
          <w:sz w:val="18"/>
          <w:vertAlign w:val="superscript"/>
        </w:rPr>
        <w:t>19 </w:t>
      </w:r>
      <w:hyperlink r:id="rId26" w:history="1">
        <w:r>
          <w:rPr>
            <w:rFonts w:ascii="Arial" w:eastAsia="Arial" w:hAnsi="Arial" w:cs="Arial"/>
            <w:i/>
            <w:color w:val="0077CC"/>
            <w:sz w:val="18"/>
            <w:u w:val="single"/>
          </w:rPr>
          <w:t>Ringler Assoc., Inc. v. Maryland Cas. Co., 80 Cal. App. 4th 1165 (2000).</w:t>
        </w:r>
      </w:hyperlink>
    </w:p>
  </w:footnote>
  <w:footnote w:id="20">
    <w:p w14:paraId="0E293DEE" w14:textId="77777777" w:rsidR="005B512B" w:rsidRDefault="00F032DA">
      <w:pPr>
        <w:spacing w:before="240" w:line="240" w:lineRule="atLeast"/>
        <w:jc w:val="both"/>
      </w:pPr>
      <w:r>
        <w:rPr>
          <w:rFonts w:ascii="Arial" w:eastAsia="Arial" w:hAnsi="Arial" w:cs="Arial"/>
          <w:color w:val="000000"/>
          <w:sz w:val="18"/>
          <w:vertAlign w:val="superscript"/>
        </w:rPr>
        <w:t>20 </w:t>
      </w:r>
      <w:hyperlink r:id="rId27" w:history="1">
        <w:r>
          <w:rPr>
            <w:rFonts w:ascii="Arial" w:eastAsia="Arial" w:hAnsi="Arial" w:cs="Arial"/>
            <w:i/>
            <w:color w:val="0077CC"/>
            <w:sz w:val="18"/>
            <w:u w:val="single"/>
          </w:rPr>
          <w:t>Id. at 1187.</w:t>
        </w:r>
      </w:hyperlink>
      <w:r>
        <w:rPr>
          <w:rFonts w:ascii="Arial" w:eastAsia="Arial" w:hAnsi="Arial" w:cs="Arial"/>
          <w:color w:val="000000"/>
          <w:sz w:val="18"/>
        </w:rPr>
        <w:t xml:space="preserve">  </w:t>
      </w:r>
      <w:r>
        <w:rPr>
          <w:rFonts w:ascii="Arial" w:eastAsia="Arial" w:hAnsi="Arial" w:cs="Arial"/>
          <w:i/>
          <w:color w:val="000000"/>
          <w:sz w:val="18"/>
        </w:rPr>
        <w:t>See also</w:t>
      </w:r>
      <w:r>
        <w:rPr>
          <w:rFonts w:ascii="Arial" w:eastAsia="Arial" w:hAnsi="Arial" w:cs="Arial"/>
          <w:color w:val="000000"/>
          <w:sz w:val="18"/>
        </w:rPr>
        <w:t xml:space="preserve">  </w:t>
      </w:r>
      <w:hyperlink r:id="rId28" w:history="1">
        <w:r>
          <w:rPr>
            <w:rFonts w:ascii="Arial" w:eastAsia="Arial" w:hAnsi="Arial" w:cs="Arial"/>
            <w:i/>
            <w:color w:val="0077CC"/>
            <w:sz w:val="18"/>
            <w:u w:val="single"/>
          </w:rPr>
          <w:t>Tradewinds Escrow, Inc. v. Truck Ins. Exch., 97 Cal. App. 4th 704, 712 (2002).</w:t>
        </w:r>
      </w:hyperlink>
    </w:p>
  </w:footnote>
  <w:footnote w:id="21">
    <w:p w14:paraId="5F398C08" w14:textId="77777777" w:rsidR="005B512B" w:rsidRDefault="00F032DA">
      <w:pPr>
        <w:spacing w:before="120" w:line="240" w:lineRule="atLeast"/>
        <w:jc w:val="both"/>
      </w:pPr>
      <w:r>
        <w:rPr>
          <w:rFonts w:ascii="Arial" w:eastAsia="Arial" w:hAnsi="Arial" w:cs="Arial"/>
          <w:color w:val="000000"/>
          <w:sz w:val="18"/>
          <w:vertAlign w:val="superscript"/>
        </w:rPr>
        <w:t>21 </w:t>
      </w:r>
      <w:r>
        <w:rPr>
          <w:rFonts w:ascii="Arial" w:eastAsia="Arial" w:hAnsi="Arial" w:cs="Arial"/>
          <w:b/>
          <w:i/>
          <w:color w:val="000000"/>
          <w:sz w:val="18"/>
        </w:rPr>
        <w:t xml:space="preserve">National Union Fire Ins. v. Nationwide Ins. Co., </w:t>
      </w:r>
      <w:r>
        <w:rPr>
          <w:rFonts w:ascii="Arial" w:eastAsia="Arial" w:hAnsi="Arial" w:cs="Arial"/>
          <w:b/>
          <w:i/>
          <w:color w:val="000000"/>
          <w:sz w:val="18"/>
        </w:rPr>
        <w:t>69 Cal. App. 4th 709 (1999).</w:t>
      </w:r>
    </w:p>
  </w:footnote>
  <w:footnote w:id="22">
    <w:p w14:paraId="3DBDEE11" w14:textId="77777777" w:rsidR="005B512B" w:rsidRDefault="00F032DA">
      <w:pPr>
        <w:spacing w:before="120" w:line="240" w:lineRule="atLeast"/>
        <w:jc w:val="both"/>
      </w:pPr>
      <w:r>
        <w:rPr>
          <w:rFonts w:ascii="Arial" w:eastAsia="Arial" w:hAnsi="Arial" w:cs="Arial"/>
          <w:color w:val="000000"/>
          <w:sz w:val="18"/>
          <w:vertAlign w:val="superscript"/>
        </w:rPr>
        <w:t>22 </w:t>
      </w:r>
      <w:r>
        <w:rPr>
          <w:rFonts w:ascii="Arial" w:eastAsia="Arial" w:hAnsi="Arial" w:cs="Arial"/>
          <w:b/>
          <w:i/>
          <w:color w:val="000000"/>
          <w:sz w:val="18"/>
        </w:rPr>
        <w:t>Id. at 721 n.5.</w:t>
      </w:r>
    </w:p>
  </w:footnote>
  <w:footnote w:id="23">
    <w:p w14:paraId="3A62CFE1" w14:textId="77777777" w:rsidR="005B512B" w:rsidRDefault="00F032DA">
      <w:pPr>
        <w:spacing w:before="200" w:line="240" w:lineRule="atLeast"/>
        <w:jc w:val="both"/>
      </w:pPr>
      <w:r>
        <w:rPr>
          <w:rFonts w:ascii="Arial" w:eastAsia="Arial" w:hAnsi="Arial" w:cs="Arial"/>
          <w:color w:val="000000"/>
          <w:sz w:val="18"/>
          <w:vertAlign w:val="superscript"/>
        </w:rPr>
        <w:t>23 </w:t>
      </w:r>
      <w:r>
        <w:rPr>
          <w:rFonts w:ascii="Arial" w:eastAsia="Arial" w:hAnsi="Arial" w:cs="Arial"/>
          <w:i/>
          <w:color w:val="000000"/>
          <w:sz w:val="18"/>
        </w:rPr>
        <w:t>Id.</w:t>
      </w:r>
    </w:p>
  </w:footnote>
  <w:footnote w:id="24">
    <w:p w14:paraId="7BCDAC13" w14:textId="77777777" w:rsidR="005B512B" w:rsidRDefault="00F032DA">
      <w:pPr>
        <w:spacing w:before="240" w:line="240" w:lineRule="atLeast"/>
        <w:jc w:val="both"/>
      </w:pPr>
      <w:r>
        <w:rPr>
          <w:rFonts w:ascii="Arial" w:eastAsia="Arial" w:hAnsi="Arial" w:cs="Arial"/>
          <w:color w:val="000000"/>
          <w:sz w:val="18"/>
          <w:vertAlign w:val="superscript"/>
        </w:rPr>
        <w:t>24 </w:t>
      </w:r>
      <w:hyperlink r:id="rId29" w:history="1">
        <w:r>
          <w:rPr>
            <w:rFonts w:ascii="Arial" w:eastAsia="Arial" w:hAnsi="Arial" w:cs="Arial"/>
            <w:i/>
            <w:color w:val="0077CC"/>
            <w:sz w:val="18"/>
            <w:u w:val="single"/>
          </w:rPr>
          <w:t xml:space="preserve">Barratt American, Inc. v. Transcontinental Ins. Co., 102 Cal. App. </w:t>
        </w:r>
        <w:r>
          <w:rPr>
            <w:rFonts w:ascii="Arial" w:eastAsia="Arial" w:hAnsi="Arial" w:cs="Arial"/>
            <w:i/>
            <w:color w:val="0077CC"/>
            <w:sz w:val="18"/>
            <w:u w:val="single"/>
          </w:rPr>
          <w:t>4th 848 (2002).</w:t>
        </w:r>
      </w:hyperlink>
    </w:p>
  </w:footnote>
  <w:footnote w:id="25">
    <w:p w14:paraId="1C4F3DBB" w14:textId="77777777" w:rsidR="005B512B" w:rsidRPr="008A6223" w:rsidRDefault="00F032DA">
      <w:pPr>
        <w:spacing w:before="240" w:line="240" w:lineRule="atLeast"/>
        <w:jc w:val="both"/>
        <w:rPr>
          <w:lang w:val="da-DK"/>
        </w:rPr>
      </w:pPr>
      <w:r w:rsidRPr="008A6223">
        <w:rPr>
          <w:rFonts w:ascii="Arial" w:eastAsia="Arial" w:hAnsi="Arial" w:cs="Arial"/>
          <w:color w:val="000000"/>
          <w:sz w:val="18"/>
          <w:vertAlign w:val="superscript"/>
          <w:lang w:val="da-DK"/>
        </w:rPr>
        <w:t>25 </w:t>
      </w:r>
      <w:hyperlink r:id="rId30" w:history="1">
        <w:r w:rsidRPr="008A6223">
          <w:rPr>
            <w:rFonts w:ascii="Arial" w:eastAsia="Arial" w:hAnsi="Arial" w:cs="Arial"/>
            <w:i/>
            <w:color w:val="0077CC"/>
            <w:sz w:val="18"/>
            <w:u w:val="single"/>
            <w:lang w:val="da-DK"/>
          </w:rPr>
          <w:t>Id. at 864.</w:t>
        </w:r>
      </w:hyperlink>
    </w:p>
  </w:footnote>
  <w:footnote w:id="26">
    <w:p w14:paraId="26FFE6E8" w14:textId="77777777" w:rsidR="005B512B" w:rsidRPr="008A6223" w:rsidRDefault="00F032DA">
      <w:pPr>
        <w:spacing w:before="200" w:line="240" w:lineRule="atLeast"/>
        <w:jc w:val="both"/>
        <w:rPr>
          <w:lang w:val="da-DK"/>
        </w:rPr>
      </w:pPr>
      <w:r w:rsidRPr="008A6223">
        <w:rPr>
          <w:rFonts w:ascii="Arial" w:eastAsia="Arial" w:hAnsi="Arial" w:cs="Arial"/>
          <w:color w:val="000000"/>
          <w:sz w:val="18"/>
          <w:vertAlign w:val="superscript"/>
          <w:lang w:val="da-DK"/>
        </w:rPr>
        <w:t>26 </w:t>
      </w:r>
      <w:r w:rsidRPr="008A6223">
        <w:rPr>
          <w:rFonts w:ascii="Arial" w:eastAsia="Arial" w:hAnsi="Arial" w:cs="Arial"/>
          <w:i/>
          <w:color w:val="000000"/>
          <w:sz w:val="18"/>
          <w:lang w:val="da-DK"/>
        </w:rPr>
        <w:t>Id.</w:t>
      </w:r>
    </w:p>
  </w:footnote>
  <w:footnote w:id="27">
    <w:p w14:paraId="424A200F" w14:textId="77777777" w:rsidR="005B512B" w:rsidRPr="008A6223" w:rsidRDefault="00F032DA">
      <w:pPr>
        <w:spacing w:before="240" w:line="240" w:lineRule="atLeast"/>
        <w:jc w:val="both"/>
        <w:rPr>
          <w:lang w:val="da-DK"/>
        </w:rPr>
      </w:pPr>
      <w:r w:rsidRPr="008A6223">
        <w:rPr>
          <w:rFonts w:ascii="Arial" w:eastAsia="Arial" w:hAnsi="Arial" w:cs="Arial"/>
          <w:color w:val="000000"/>
          <w:sz w:val="18"/>
          <w:vertAlign w:val="superscript"/>
          <w:lang w:val="da-DK"/>
        </w:rPr>
        <w:t>27 </w:t>
      </w:r>
      <w:hyperlink r:id="rId31" w:history="1">
        <w:r w:rsidRPr="008A6223">
          <w:rPr>
            <w:rFonts w:ascii="Arial" w:eastAsia="Arial" w:hAnsi="Arial" w:cs="Arial"/>
            <w:i/>
            <w:color w:val="0077CC"/>
            <w:sz w:val="18"/>
            <w:u w:val="single"/>
            <w:lang w:val="da-DK"/>
          </w:rPr>
          <w:t>Id. at 864 &amp; n.4.</w:t>
        </w:r>
      </w:hyperlink>
    </w:p>
  </w:footnote>
  <w:footnote w:id="28">
    <w:p w14:paraId="30BCA7C2" w14:textId="77777777" w:rsidR="005B512B" w:rsidRDefault="00F032DA">
      <w:pPr>
        <w:spacing w:before="240" w:line="240" w:lineRule="atLeast"/>
        <w:jc w:val="both"/>
      </w:pPr>
      <w:r>
        <w:rPr>
          <w:rFonts w:ascii="Arial" w:eastAsia="Arial" w:hAnsi="Arial" w:cs="Arial"/>
          <w:color w:val="000000"/>
          <w:sz w:val="18"/>
          <w:vertAlign w:val="superscript"/>
        </w:rPr>
        <w:t>28 </w:t>
      </w:r>
      <w:r>
        <w:rPr>
          <w:rFonts w:ascii="Arial" w:eastAsia="Arial" w:hAnsi="Arial" w:cs="Arial"/>
          <w:color w:val="000000"/>
          <w:sz w:val="18"/>
        </w:rPr>
        <w:t xml:space="preserve">As one court put it when addressing an appropriate hourly rate for defense attorneys, under </w:t>
      </w:r>
      <w:hyperlink r:id="rId32" w:history="1">
        <w:r>
          <w:rPr>
            <w:rFonts w:ascii="Arial" w:eastAsia="Arial" w:hAnsi="Arial" w:cs="Arial"/>
            <w:i/>
            <w:color w:val="0077CC"/>
            <w:sz w:val="18"/>
            <w:u w:val="single"/>
          </w:rPr>
          <w:t>California Civil Code § 2860</w:t>
        </w:r>
      </w:hyperlink>
      <w:r>
        <w:rPr>
          <w:rFonts w:ascii="Arial" w:eastAsia="Arial" w:hAnsi="Arial" w:cs="Arial"/>
          <w:color w:val="000000"/>
          <w:sz w:val="18"/>
        </w:rPr>
        <w:t xml:space="preserve">, the policyholder's rights should not depend "fortuitously on the number of insurers that are called upon to </w:t>
      </w:r>
      <w:r>
        <w:rPr>
          <w:rFonts w:ascii="Arial" w:eastAsia="Arial" w:hAnsi="Arial" w:cs="Arial"/>
          <w:b/>
          <w:i/>
          <w:color w:val="000000"/>
          <w:sz w:val="18"/>
          <w:u w:val="single"/>
        </w:rPr>
        <w:t>defend</w:t>
      </w:r>
      <w:r>
        <w:rPr>
          <w:rFonts w:ascii="Arial" w:eastAsia="Arial" w:hAnsi="Arial" w:cs="Arial"/>
          <w:color w:val="000000"/>
          <w:sz w:val="18"/>
        </w:rPr>
        <w:t xml:space="preserve">." </w:t>
      </w:r>
      <w:hyperlink r:id="rId33" w:history="1">
        <w:r>
          <w:rPr>
            <w:rFonts w:ascii="Arial" w:eastAsia="Arial" w:hAnsi="Arial" w:cs="Arial"/>
            <w:i/>
            <w:color w:val="0077CC"/>
            <w:sz w:val="18"/>
            <w:u w:val="single"/>
          </w:rPr>
          <w:t>San Gabriel Valley Water Co. v. Hartford Acc. &amp; Ind. Co., 82 Cal. App. 4th 1230, 1242 (2000).</w:t>
        </w:r>
      </w:hyperlink>
    </w:p>
  </w:footnote>
  <w:footnote w:id="29">
    <w:p w14:paraId="507C7BD1" w14:textId="77777777" w:rsidR="005B512B" w:rsidRDefault="00F032DA">
      <w:pPr>
        <w:spacing w:before="240" w:line="240" w:lineRule="atLeast"/>
        <w:jc w:val="both"/>
      </w:pPr>
      <w:r>
        <w:rPr>
          <w:rFonts w:ascii="Arial" w:eastAsia="Arial" w:hAnsi="Arial" w:cs="Arial"/>
          <w:color w:val="000000"/>
          <w:sz w:val="18"/>
          <w:vertAlign w:val="superscript"/>
        </w:rPr>
        <w:t>29 </w:t>
      </w:r>
      <w:hyperlink r:id="rId34" w:history="1">
        <w:r>
          <w:rPr>
            <w:rFonts w:ascii="Arial" w:eastAsia="Arial" w:hAnsi="Arial" w:cs="Arial"/>
            <w:i/>
            <w:color w:val="0077CC"/>
            <w:sz w:val="18"/>
            <w:u w:val="single"/>
          </w:rPr>
          <w:t>Golden Eagle Ins. Co. v. Insurance Co. of the West, 99 Cal. App. 4th 837, 853 (2002).</w:t>
        </w:r>
      </w:hyperlink>
    </w:p>
  </w:footnote>
  <w:footnote w:id="30">
    <w:p w14:paraId="52A6DF8F" w14:textId="77777777" w:rsidR="005B512B" w:rsidRDefault="00F032DA">
      <w:pPr>
        <w:spacing w:before="240" w:line="240" w:lineRule="atLeast"/>
        <w:jc w:val="both"/>
      </w:pPr>
      <w:r>
        <w:rPr>
          <w:rFonts w:ascii="Arial" w:eastAsia="Arial" w:hAnsi="Arial" w:cs="Arial"/>
          <w:color w:val="000000"/>
          <w:sz w:val="18"/>
          <w:vertAlign w:val="superscript"/>
        </w:rPr>
        <w:t>30 </w:t>
      </w:r>
      <w:r>
        <w:rPr>
          <w:rFonts w:ascii="Arial" w:eastAsia="Arial" w:hAnsi="Arial" w:cs="Arial"/>
          <w:i/>
          <w:color w:val="000000"/>
          <w:sz w:val="18"/>
        </w:rPr>
        <w:t>See, e.g.</w:t>
      </w:r>
      <w:r>
        <w:rPr>
          <w:rFonts w:ascii="Arial" w:eastAsia="Arial" w:hAnsi="Arial" w:cs="Arial"/>
          <w:color w:val="000000"/>
          <w:sz w:val="18"/>
        </w:rPr>
        <w:t xml:space="preserve">, </w:t>
      </w:r>
      <w:hyperlink r:id="rId35" w:history="1">
        <w:r>
          <w:rPr>
            <w:rFonts w:ascii="Arial" w:eastAsia="Arial" w:hAnsi="Arial" w:cs="Arial"/>
            <w:i/>
            <w:color w:val="0077CC"/>
            <w:sz w:val="18"/>
            <w:u w:val="single"/>
          </w:rPr>
          <w:t>Stonewall Ins. Co. v. City of Palos Verdes Estates, 46 Cal. App. 4th 1810, 1861 (1996)</w:t>
        </w:r>
      </w:hyperlink>
      <w:r>
        <w:rPr>
          <w:rFonts w:ascii="Arial" w:eastAsia="Arial" w:hAnsi="Arial" w:cs="Arial"/>
          <w:color w:val="000000"/>
          <w:sz w:val="18"/>
        </w:rPr>
        <w:t xml:space="preserve">  </w:t>
      </w:r>
      <w:r>
        <w:rPr>
          <w:rFonts w:ascii="Arial" w:eastAsia="Arial" w:hAnsi="Arial" w:cs="Arial"/>
          <w:i/>
          <w:color w:val="000000"/>
          <w:sz w:val="18"/>
        </w:rPr>
        <w:t>and</w:t>
      </w:r>
      <w:r>
        <w:rPr>
          <w:rFonts w:ascii="Arial" w:eastAsia="Arial" w:hAnsi="Arial" w:cs="Arial"/>
          <w:color w:val="000000"/>
          <w:sz w:val="18"/>
        </w:rPr>
        <w:t xml:space="preserve">  </w:t>
      </w:r>
      <w:hyperlink r:id="rId36" w:history="1">
        <w:r>
          <w:rPr>
            <w:rFonts w:ascii="Arial" w:eastAsia="Arial" w:hAnsi="Arial" w:cs="Arial"/>
            <w:i/>
            <w:color w:val="0077CC"/>
            <w:sz w:val="18"/>
            <w:u w:val="single"/>
          </w:rPr>
          <w:t>Pacific Indem. Co. v. Fireman's Fund Ins. Co., 175 Cal. App. 3d 1191, 1201 (1985).</w:t>
        </w:r>
      </w:hyperlink>
    </w:p>
  </w:footnote>
  <w:footnote w:id="31">
    <w:p w14:paraId="66DB5A99" w14:textId="77777777" w:rsidR="005B512B" w:rsidRDefault="00F032DA">
      <w:pPr>
        <w:spacing w:before="240" w:line="240" w:lineRule="atLeast"/>
        <w:jc w:val="both"/>
      </w:pPr>
      <w:r>
        <w:rPr>
          <w:rFonts w:ascii="Arial" w:eastAsia="Arial" w:hAnsi="Arial" w:cs="Arial"/>
          <w:color w:val="000000"/>
          <w:sz w:val="18"/>
          <w:vertAlign w:val="superscript"/>
        </w:rPr>
        <w:t>31 </w:t>
      </w:r>
      <w:hyperlink r:id="rId37" w:history="1">
        <w:r>
          <w:rPr>
            <w:rFonts w:ascii="Arial" w:eastAsia="Arial" w:hAnsi="Arial" w:cs="Arial"/>
            <w:i/>
            <w:color w:val="0077CC"/>
            <w:sz w:val="18"/>
            <w:u w:val="single"/>
          </w:rPr>
          <w:t>Fireman's Fund Ins. Co. v. Maryland Cas. Co., 65 Cal. App. 4th 1279 (1998).</w:t>
        </w:r>
      </w:hyperlink>
    </w:p>
  </w:footnote>
  <w:footnote w:id="32">
    <w:p w14:paraId="082F7DC5" w14:textId="77777777" w:rsidR="005B512B" w:rsidRDefault="00F032DA">
      <w:pPr>
        <w:spacing w:before="240" w:line="240" w:lineRule="atLeast"/>
        <w:jc w:val="both"/>
      </w:pPr>
      <w:r>
        <w:rPr>
          <w:rFonts w:ascii="Arial" w:eastAsia="Arial" w:hAnsi="Arial" w:cs="Arial"/>
          <w:color w:val="000000"/>
          <w:sz w:val="18"/>
          <w:vertAlign w:val="superscript"/>
        </w:rPr>
        <w:t>32 </w:t>
      </w:r>
      <w:hyperlink r:id="rId38" w:history="1">
        <w:r>
          <w:rPr>
            <w:rFonts w:ascii="Arial" w:eastAsia="Arial" w:hAnsi="Arial" w:cs="Arial"/>
            <w:i/>
            <w:color w:val="0077CC"/>
            <w:sz w:val="18"/>
            <w:u w:val="single"/>
          </w:rPr>
          <w:t>Id. at 1308.</w:t>
        </w:r>
      </w:hyperlink>
    </w:p>
  </w:footnote>
  <w:footnote w:id="33">
    <w:p w14:paraId="20F8AE68" w14:textId="77777777" w:rsidR="005B512B" w:rsidRDefault="00F032DA">
      <w:pPr>
        <w:spacing w:before="240" w:line="240" w:lineRule="atLeast"/>
        <w:jc w:val="both"/>
      </w:pPr>
      <w:r>
        <w:rPr>
          <w:rFonts w:ascii="Arial" w:eastAsia="Arial" w:hAnsi="Arial" w:cs="Arial"/>
          <w:color w:val="000000"/>
          <w:sz w:val="18"/>
          <w:vertAlign w:val="superscript"/>
        </w:rPr>
        <w:t>33 </w:t>
      </w:r>
      <w:hyperlink r:id="rId39" w:history="1">
        <w:r>
          <w:rPr>
            <w:rFonts w:ascii="Arial" w:eastAsia="Arial" w:hAnsi="Arial" w:cs="Arial"/>
            <w:i/>
            <w:color w:val="0077CC"/>
            <w:sz w:val="18"/>
            <w:u w:val="single"/>
          </w:rPr>
          <w:t>Maryland Cas. Co. v. Nationwide Mut. Ins. Co., 81 Cal. App. 4th 1082 (2000).</w:t>
        </w:r>
      </w:hyperlink>
    </w:p>
  </w:footnote>
  <w:footnote w:id="34">
    <w:p w14:paraId="7F479C53" w14:textId="77777777" w:rsidR="005B512B" w:rsidRDefault="00F032DA">
      <w:pPr>
        <w:spacing w:before="240" w:line="240" w:lineRule="atLeast"/>
        <w:jc w:val="both"/>
      </w:pPr>
      <w:r>
        <w:rPr>
          <w:rFonts w:ascii="Arial" w:eastAsia="Arial" w:hAnsi="Arial" w:cs="Arial"/>
          <w:color w:val="000000"/>
          <w:sz w:val="18"/>
          <w:vertAlign w:val="superscript"/>
        </w:rPr>
        <w:t>34 </w:t>
      </w:r>
      <w:hyperlink r:id="rId40" w:history="1">
        <w:r>
          <w:rPr>
            <w:rFonts w:ascii="Arial" w:eastAsia="Arial" w:hAnsi="Arial" w:cs="Arial"/>
            <w:i/>
            <w:color w:val="0077CC"/>
            <w:sz w:val="18"/>
            <w:u w:val="single"/>
          </w:rPr>
          <w:t>Id. at 1091</w:t>
        </w:r>
      </w:hyperlink>
      <w:r>
        <w:rPr>
          <w:rFonts w:ascii="Arial" w:eastAsia="Arial" w:hAnsi="Arial" w:cs="Arial"/>
          <w:color w:val="000000"/>
          <w:sz w:val="18"/>
        </w:rPr>
        <w:t xml:space="preserve"> (emphasis in original).</w:t>
      </w:r>
    </w:p>
  </w:footnote>
  <w:footnote w:id="35">
    <w:p w14:paraId="79452678" w14:textId="77777777" w:rsidR="005B512B" w:rsidRDefault="00F032DA">
      <w:pPr>
        <w:spacing w:before="240" w:line="240" w:lineRule="atLeast"/>
        <w:jc w:val="both"/>
      </w:pPr>
      <w:r>
        <w:rPr>
          <w:rFonts w:ascii="Arial" w:eastAsia="Arial" w:hAnsi="Arial" w:cs="Arial"/>
          <w:color w:val="000000"/>
          <w:sz w:val="18"/>
          <w:vertAlign w:val="superscript"/>
        </w:rPr>
        <w:t>35 </w:t>
      </w:r>
      <w:hyperlink r:id="rId41" w:history="1">
        <w:r>
          <w:rPr>
            <w:rFonts w:ascii="Arial" w:eastAsia="Arial" w:hAnsi="Arial" w:cs="Arial"/>
            <w:i/>
            <w:color w:val="0077CC"/>
            <w:sz w:val="18"/>
            <w:u w:val="single"/>
          </w:rPr>
          <w:t>Id. at 1094.</w:t>
        </w:r>
      </w:hyperlink>
    </w:p>
  </w:footnote>
  <w:footnote w:id="36">
    <w:p w14:paraId="6CE1AF6B" w14:textId="77777777" w:rsidR="005B512B" w:rsidRDefault="00F032DA">
      <w:pPr>
        <w:spacing w:before="240" w:line="240" w:lineRule="atLeast"/>
        <w:jc w:val="both"/>
      </w:pPr>
      <w:r>
        <w:rPr>
          <w:rFonts w:ascii="Arial" w:eastAsia="Arial" w:hAnsi="Arial" w:cs="Arial"/>
          <w:color w:val="000000"/>
          <w:sz w:val="18"/>
          <w:vertAlign w:val="superscript"/>
        </w:rPr>
        <w:t>36 </w:t>
      </w:r>
      <w:hyperlink r:id="rId42" w:history="1">
        <w:r>
          <w:rPr>
            <w:rFonts w:ascii="Arial" w:eastAsia="Arial" w:hAnsi="Arial" w:cs="Arial"/>
            <w:i/>
            <w:color w:val="0077CC"/>
            <w:sz w:val="18"/>
            <w:u w:val="single"/>
          </w:rPr>
          <w:t>Centennial Ins. Co. v. United States Fire Ins. Co., 88 Cal. App. 4th 105 (2001).</w:t>
        </w:r>
      </w:hyperlink>
    </w:p>
  </w:footnote>
  <w:footnote w:id="37">
    <w:p w14:paraId="29139661" w14:textId="77777777" w:rsidR="005B512B" w:rsidRDefault="00F032DA">
      <w:pPr>
        <w:spacing w:before="240" w:line="240" w:lineRule="atLeast"/>
        <w:jc w:val="both"/>
      </w:pPr>
      <w:r>
        <w:rPr>
          <w:rFonts w:ascii="Arial" w:eastAsia="Arial" w:hAnsi="Arial" w:cs="Arial"/>
          <w:color w:val="000000"/>
          <w:sz w:val="18"/>
          <w:vertAlign w:val="superscript"/>
        </w:rPr>
        <w:t>37 </w:t>
      </w:r>
      <w:hyperlink r:id="rId43" w:history="1">
        <w:r>
          <w:rPr>
            <w:rFonts w:ascii="Arial" w:eastAsia="Arial" w:hAnsi="Arial" w:cs="Arial"/>
            <w:i/>
            <w:color w:val="0077CC"/>
            <w:sz w:val="18"/>
            <w:u w:val="single"/>
          </w:rPr>
          <w:t>Id. at 113.</w:t>
        </w:r>
      </w:hyperlink>
    </w:p>
  </w:footnote>
  <w:footnote w:id="38">
    <w:p w14:paraId="6F7CE07A" w14:textId="77777777" w:rsidR="005B512B" w:rsidRDefault="00F032DA">
      <w:pPr>
        <w:spacing w:before="240" w:line="240" w:lineRule="atLeast"/>
        <w:jc w:val="both"/>
      </w:pPr>
      <w:r>
        <w:rPr>
          <w:rFonts w:ascii="Arial" w:eastAsia="Arial" w:hAnsi="Arial" w:cs="Arial"/>
          <w:color w:val="000000"/>
          <w:sz w:val="18"/>
          <w:vertAlign w:val="superscript"/>
        </w:rPr>
        <w:t>38 </w:t>
      </w:r>
      <w:hyperlink r:id="rId44" w:history="1">
        <w:r>
          <w:rPr>
            <w:rFonts w:ascii="Arial" w:eastAsia="Arial" w:hAnsi="Arial" w:cs="Arial"/>
            <w:i/>
            <w:color w:val="0077CC"/>
            <w:sz w:val="18"/>
            <w:u w:val="single"/>
          </w:rPr>
          <w:t>Golden Eagle Ins. Co. v. Insurance Co. of the West, 99 Cal. App. 4th 837, 854 (2002).</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F7D4" w14:textId="77777777" w:rsidR="005B512B" w:rsidRDefault="005B51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5B512B" w14:paraId="2A454FD2" w14:textId="77777777">
      <w:trPr>
        <w:jc w:val="center"/>
      </w:trPr>
      <w:tc>
        <w:tcPr>
          <w:tcW w:w="10080" w:type="dxa"/>
          <w:vAlign w:val="center"/>
        </w:tcPr>
        <w:p w14:paraId="6F690081" w14:textId="77777777" w:rsidR="005B512B" w:rsidRDefault="00F032DA">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sidR="008A6223">
            <w:rPr>
              <w:rFonts w:ascii="Arial" w:eastAsia="Arial" w:hAnsi="Arial" w:cs="Arial"/>
              <w:sz w:val="20"/>
            </w:rPr>
            <w:fldChar w:fldCharType="separate"/>
          </w:r>
          <w:r w:rsidR="008A6223">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sidR="008A6223">
            <w:rPr>
              <w:rFonts w:ascii="Arial" w:eastAsia="Arial" w:hAnsi="Arial" w:cs="Arial"/>
              <w:sz w:val="20"/>
            </w:rPr>
            <w:fldChar w:fldCharType="separate"/>
          </w:r>
          <w:r w:rsidR="008A6223">
            <w:rPr>
              <w:rFonts w:ascii="Arial" w:eastAsia="Arial" w:hAnsi="Arial" w:cs="Arial"/>
              <w:noProof/>
              <w:sz w:val="20"/>
            </w:rPr>
            <w:t>8</w:t>
          </w:r>
          <w:r>
            <w:rPr>
              <w:rFonts w:ascii="Arial" w:eastAsia="Arial" w:hAnsi="Arial" w:cs="Arial"/>
              <w:sz w:val="20"/>
            </w:rPr>
            <w:fldChar w:fldCharType="end"/>
          </w:r>
        </w:p>
      </w:tc>
    </w:tr>
    <w:tr w:rsidR="005B512B" w14:paraId="5B82CFBF" w14:textId="77777777">
      <w:trPr>
        <w:jc w:val="center"/>
      </w:trPr>
      <w:tc>
        <w:tcPr>
          <w:tcW w:w="10080" w:type="dxa"/>
        </w:tcPr>
        <w:p w14:paraId="401407FA" w14:textId="77777777" w:rsidR="005B512B" w:rsidRDefault="00F032DA">
          <w:pPr>
            <w:spacing w:before="60" w:after="200"/>
            <w:jc w:val="center"/>
          </w:pPr>
          <w:r>
            <w:rPr>
              <w:rFonts w:ascii="Arial" w:eastAsia="Arial" w:hAnsi="Arial" w:cs="Arial"/>
              <w:sz w:val="20"/>
            </w:rPr>
            <w:t>DEPARTMENT: PRACTICE TIPS: HOW PRESLEY HOMES HAS CHANGED THE DUTY TO DEFEND</w:t>
          </w:r>
        </w:p>
      </w:tc>
    </w:tr>
  </w:tbl>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066A" w14:textId="77777777" w:rsidR="005B512B" w:rsidRDefault="005B51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B512B"/>
    <w:rsid w:val="008A6223"/>
    <w:rsid w:val="00A77B3E"/>
    <w:rsid w:val="00CA2A55"/>
    <w:rsid w:val="00F0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47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6223"/>
    <w:pPr>
      <w:tabs>
        <w:tab w:val="center" w:pos="4680"/>
        <w:tab w:val="right" w:pos="9360"/>
      </w:tabs>
    </w:pPr>
  </w:style>
  <w:style w:type="character" w:customStyle="1" w:styleId="HeaderChar">
    <w:name w:val="Header Char"/>
    <w:basedOn w:val="DefaultParagraphFont"/>
    <w:link w:val="Header"/>
    <w:rsid w:val="008A6223"/>
    <w:rPr>
      <w:sz w:val="24"/>
      <w:szCs w:val="24"/>
    </w:rPr>
  </w:style>
  <w:style w:type="paragraph" w:styleId="Footer">
    <w:name w:val="footer"/>
    <w:basedOn w:val="Normal"/>
    <w:link w:val="FooterChar"/>
    <w:unhideWhenUsed/>
    <w:rsid w:val="008A6223"/>
    <w:pPr>
      <w:tabs>
        <w:tab w:val="center" w:pos="4680"/>
        <w:tab w:val="right" w:pos="9360"/>
      </w:tabs>
    </w:pPr>
  </w:style>
  <w:style w:type="character" w:customStyle="1" w:styleId="FooterChar">
    <w:name w:val="Footer Char"/>
    <w:basedOn w:val="DefaultParagraphFont"/>
    <w:link w:val="Footer"/>
    <w:rsid w:val="008A62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advance.lexis.com/api/document?collection=analytical-materials&amp;id=urn:contentItem:48CX-SS90-00BT-40CK-00000-00&amp;context=" TargetMode="External"/><Relationship Id="rId21" Type="http://schemas.openxmlformats.org/officeDocument/2006/relationships/hyperlink" Target="https://advance.lexis.com/api/document?collection=analytical-materials&amp;id=urn:contentItem:48CX-SS90-00BT-40CK-00000-00&amp;context=" TargetMode="External"/><Relationship Id="rId22" Type="http://schemas.openxmlformats.org/officeDocument/2006/relationships/hyperlink" Target="https://advance.lexis.com/api/document?collection=analytical-materials&amp;id=urn:contentItem:48CX-SS90-00BT-40CK-00000-00&amp;context=" TargetMode="External"/><Relationship Id="rId23" Type="http://schemas.openxmlformats.org/officeDocument/2006/relationships/hyperlink" Target="https://advance.lexis.com/api/document?collection=analytical-materials&amp;id=urn:contentItem:48CX-SS90-00BT-40CK-00000-00&amp;context=" TargetMode="External"/><Relationship Id="rId24" Type="http://schemas.openxmlformats.org/officeDocument/2006/relationships/hyperlink" Target="https://advance.lexis.com/api/document?collection=analytical-materials&amp;id=urn:contentItem:48CX-SS90-00BT-40CK-00000-00&amp;context=" TargetMode="External"/><Relationship Id="rId25" Type="http://schemas.openxmlformats.org/officeDocument/2006/relationships/hyperlink" Target="https://advance.lexis.com/api/document?collection=analytical-materials&amp;id=urn:contentItem:48CX-SS90-00BT-40CK-00000-00&amp;context=" TargetMode="External"/><Relationship Id="rId26" Type="http://schemas.openxmlformats.org/officeDocument/2006/relationships/hyperlink" Target="https://advance.lexis.com/api/document?collection=analytical-materials&amp;id=urn:contentItem:48CX-SS90-00BT-40CK-00000-00&amp;context=" TargetMode="External"/><Relationship Id="rId27" Type="http://schemas.openxmlformats.org/officeDocument/2006/relationships/hyperlink" Target="https://advance.lexis.com/api/document?collection=analytical-materials&amp;id=urn:contentItem:48CX-SS90-00BT-40CK-00000-00&amp;context="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yperlink" Target="https://advance.lexis.com/api/document?collection=analytical-materials&amp;id=urn:contentItem:48CX-SS90-00BT-40CK-00000-00&amp;context=" TargetMode="External"/><Relationship Id="rId17" Type="http://schemas.openxmlformats.org/officeDocument/2006/relationships/hyperlink" Target="https://advance.lexis.com/api/document?collection=analytical-materials&amp;id=urn:contentItem:48CX-SS90-00BT-40CK-00000-00&amp;context=" TargetMode="External"/><Relationship Id="rId18" Type="http://schemas.openxmlformats.org/officeDocument/2006/relationships/hyperlink" Target="https://advance.lexis.com/api/document?collection=analytical-materials&amp;id=urn:contentItem:48CX-SS90-00BT-40CK-00000-00&amp;context=" TargetMode="External"/><Relationship Id="rId19" Type="http://schemas.openxmlformats.org/officeDocument/2006/relationships/hyperlink" Target="https://advance.lexis.com/api/document?collection=analytical-materials&amp;id=urn:contentItem:48CX-SS90-00BT-40CK-00000-00&amp;contex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advance.lexis.com/api/document?id=urn:contentItem:48CX-SS90-00BT-40CK-00000-00&amp;idtype=PID&amp;context=1000516" TargetMode="External"/><Relationship Id="rId8" Type="http://schemas.openxmlformats.org/officeDocument/2006/relationships/hyperlink" Target="https://advance.lexis.com/api/document?id=urn:contentItem:48CX-SS90-00BT-40CK-00000-00&amp;idtype=PID&amp;context=100051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lexisnexis.com/en-us/terms/privacy-policy.page" TargetMode="External"/><Relationship Id="rId4" Type="http://schemas.openxmlformats.org/officeDocument/2006/relationships/hyperlink" Target="http://www.lexisnexis.com/terms/general.aspx" TargetMode="External"/><Relationship Id="rId5" Type="http://schemas.openxmlformats.org/officeDocument/2006/relationships/hyperlink" Target="http://www.lexisnexis.com/terms/copyright.aspx" TargetMode="External"/><Relationship Id="rId1" Type="http://schemas.openxmlformats.org/officeDocument/2006/relationships/image" Target="media/image2.jpeg"/><Relationship Id="rId2" Type="http://schemas.openxmlformats.org/officeDocument/2006/relationships/hyperlink" Target="http://www.lexisnexis.com/about-us/"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advance.lexis.com/api/document?collection=cases&amp;id=urn:contentItem:43GB-9HJ0-0039-423T-00000-00&amp;context=" TargetMode="External"/><Relationship Id="rId21" Type="http://schemas.openxmlformats.org/officeDocument/2006/relationships/hyperlink" Target="https://advance.lexis.com/api/document?collection=cases&amp;id=urn:contentItem:43GB-9HJ0-0039-423T-00000-00&amp;context=" TargetMode="External"/><Relationship Id="rId22" Type="http://schemas.openxmlformats.org/officeDocument/2006/relationships/hyperlink" Target="https://advance.lexis.com/api/document?collection=cases&amp;id=urn:contentItem:43GB-9HJ0-0039-423T-00000-00&amp;context=" TargetMode="External"/><Relationship Id="rId23" Type="http://schemas.openxmlformats.org/officeDocument/2006/relationships/hyperlink" Target="https://advance.lexis.com/api/document?collection=cases&amp;id=urn:contentItem:3RHR-WD30-0039-43JJ-00000-00&amp;context=" TargetMode="External"/><Relationship Id="rId24" Type="http://schemas.openxmlformats.org/officeDocument/2006/relationships/hyperlink" Target="https://advance.lexis.com/api/document?collection=cases&amp;id=urn:contentItem:3RX6-HYT0-003D-J3G4-00000-00&amp;context=" TargetMode="External"/><Relationship Id="rId25" Type="http://schemas.openxmlformats.org/officeDocument/2006/relationships/hyperlink" Target="https://advance.lexis.com/api/document?collection=cases&amp;id=urn:contentItem:3RX6-HYT0-003D-J3G4-00000-00&amp;context=" TargetMode="External"/><Relationship Id="rId26" Type="http://schemas.openxmlformats.org/officeDocument/2006/relationships/hyperlink" Target="https://advance.lexis.com/api/document?collection=cases&amp;id=urn:contentItem:40B3-NF80-0039-40HX-00000-00&amp;context=" TargetMode="External"/><Relationship Id="rId27" Type="http://schemas.openxmlformats.org/officeDocument/2006/relationships/hyperlink" Target="https://advance.lexis.com/api/document?collection=cases&amp;id=urn:contentItem:40B3-NF80-0039-40HX-00000-00&amp;context=" TargetMode="External"/><Relationship Id="rId28" Type="http://schemas.openxmlformats.org/officeDocument/2006/relationships/hyperlink" Target="https://advance.lexis.com/api/document?collection=cases&amp;id=urn:contentItem:45K1-JX80-0039-404F-00000-00&amp;context=" TargetMode="External"/><Relationship Id="rId29" Type="http://schemas.openxmlformats.org/officeDocument/2006/relationships/hyperlink" Target="https://advance.lexis.com/api/document?collection=cases&amp;id=urn:contentItem:46XB-FVH0-0039-405N-00000-00&amp;context=" TargetMode="External"/><Relationship Id="rId1" Type="http://schemas.openxmlformats.org/officeDocument/2006/relationships/hyperlink" Target="https://advance.lexis.com/api/document?collection=cases&amp;id=urn:contentItem:51J9-SGM1-F04B-N2S0-00000-00&amp;context=" TargetMode="External"/><Relationship Id="rId2" Type="http://schemas.openxmlformats.org/officeDocument/2006/relationships/hyperlink" Target="https://advance.lexis.com/api/document?collection=cases&amp;id=urn:contentItem:51J9-SGM1-F04B-N2S0-00000-00&amp;context=" TargetMode="External"/><Relationship Id="rId3" Type="http://schemas.openxmlformats.org/officeDocument/2006/relationships/hyperlink" Target="https://advance.lexis.com/api/document?collection=cases&amp;id=urn:contentItem:51J9-SGM1-F04B-N2S0-00000-00&amp;context=" TargetMode="External"/><Relationship Id="rId4" Type="http://schemas.openxmlformats.org/officeDocument/2006/relationships/hyperlink" Target="https://advance.lexis.com/api/document?collection=cases&amp;id=urn:contentItem:51J9-SGM1-F04B-N2S0-00000-00&amp;context=" TargetMode="External"/><Relationship Id="rId5" Type="http://schemas.openxmlformats.org/officeDocument/2006/relationships/hyperlink" Target="https://advance.lexis.com/api/document?collection=cases&amp;id=urn:contentItem:3RHR-WD30-0039-43JJ-00000-00&amp;context=" TargetMode="External"/><Relationship Id="rId30" Type="http://schemas.openxmlformats.org/officeDocument/2006/relationships/hyperlink" Target="https://advance.lexis.com/api/document?collection=cases&amp;id=urn:contentItem:46XB-FVH0-0039-405N-00000-00&amp;context=" TargetMode="External"/><Relationship Id="rId31" Type="http://schemas.openxmlformats.org/officeDocument/2006/relationships/hyperlink" Target="https://advance.lexis.com/api/document?collection=cases&amp;id=urn:contentItem:46XB-FVH0-0039-405N-00000-00&amp;context=" TargetMode="External"/><Relationship Id="rId32" Type="http://schemas.openxmlformats.org/officeDocument/2006/relationships/hyperlink" Target="https://advance.lexis.com/api/document?collection=statutes-legislation&amp;id=urn:contentItem:5J6R-DSW1-66B9-80BJ-00000-00&amp;context=" TargetMode="External"/><Relationship Id="rId9" Type="http://schemas.openxmlformats.org/officeDocument/2006/relationships/hyperlink" Target="https://advance.lexis.com/api/document?collection=cases&amp;id=urn:contentItem:3RHR-WD30-0039-43JJ-00000-00&amp;context=" TargetMode="External"/><Relationship Id="rId6" Type="http://schemas.openxmlformats.org/officeDocument/2006/relationships/hyperlink" Target="https://advance.lexis.com/api/document?collection=cases&amp;id=urn:contentItem:3RRK-JJM0-003C-H0WS-00000-00&amp;context=" TargetMode="External"/><Relationship Id="rId7" Type="http://schemas.openxmlformats.org/officeDocument/2006/relationships/hyperlink" Target="https://advance.lexis.com/api/document?collection=cases&amp;id=urn:contentItem:3S4N-KP20-008H-F1FF-00000-00&amp;context=" TargetMode="External"/><Relationship Id="rId8" Type="http://schemas.openxmlformats.org/officeDocument/2006/relationships/hyperlink" Target="https://advance.lexis.com/api/document?collection=cases&amp;id=urn:contentItem:3RHR-WD30-0039-43JJ-00000-00&amp;context=" TargetMode="External"/><Relationship Id="rId33" Type="http://schemas.openxmlformats.org/officeDocument/2006/relationships/hyperlink" Target="https://advance.lexis.com/api/document?collection=cases&amp;id=urn:contentItem:40XT-R5G0-0039-42RM-00000-00&amp;context=" TargetMode="External"/><Relationship Id="rId34" Type="http://schemas.openxmlformats.org/officeDocument/2006/relationships/hyperlink" Target="https://advance.lexis.com/api/document?collection=cases&amp;id=urn:contentItem:4656-C5K0-0039-455P-00000-00&amp;context=" TargetMode="External"/><Relationship Id="rId35" Type="http://schemas.openxmlformats.org/officeDocument/2006/relationships/hyperlink" Target="https://advance.lexis.com/api/document?collection=cases&amp;id=urn:contentItem:3RX6-F7V0-003D-J2YM-00000-00&amp;context=" TargetMode="External"/><Relationship Id="rId36" Type="http://schemas.openxmlformats.org/officeDocument/2006/relationships/hyperlink" Target="https://advance.lexis.com/api/document?collection=cases&amp;id=urn:contentItem:3RX6-K8X0-003D-J434-00000-00&amp;context=" TargetMode="External"/><Relationship Id="rId10" Type="http://schemas.openxmlformats.org/officeDocument/2006/relationships/hyperlink" Target="https://advance.lexis.com/api/document?collection=cases&amp;id=urn:contentItem:3RHR-WD30-0039-43JJ-00000-00&amp;context=" TargetMode="External"/><Relationship Id="rId11" Type="http://schemas.openxmlformats.org/officeDocument/2006/relationships/hyperlink" Target="https://advance.lexis.com/api/document?collection=cases&amp;id=urn:contentItem:3S4N-KP20-008H-F1FF-00000-00&amp;context=" TargetMode="External"/><Relationship Id="rId12" Type="http://schemas.openxmlformats.org/officeDocument/2006/relationships/hyperlink" Target="https://advance.lexis.com/api/document?collection=cases&amp;id=urn:contentItem:3RHR-WD30-0039-43JJ-00000-00&amp;context=" TargetMode="External"/><Relationship Id="rId13" Type="http://schemas.openxmlformats.org/officeDocument/2006/relationships/hyperlink" Target="https://advance.lexis.com/api/document?collection=cases&amp;id=urn:contentItem:3RHR-WD30-0039-43JJ-00000-00&amp;context=" TargetMode="External"/><Relationship Id="rId14" Type="http://schemas.openxmlformats.org/officeDocument/2006/relationships/hyperlink" Target="https://advance.lexis.com/api/document?collection=cases&amp;id=urn:contentItem:3RNK-BPF0-0039-40H2-00000-00&amp;context=" TargetMode="External"/><Relationship Id="rId15" Type="http://schemas.openxmlformats.org/officeDocument/2006/relationships/hyperlink" Target="https://advance.lexis.com/api/document?collection=cases&amp;id=urn:contentItem:43GB-9HJ0-0039-423T-00000-00&amp;context=" TargetMode="External"/><Relationship Id="rId16" Type="http://schemas.openxmlformats.org/officeDocument/2006/relationships/hyperlink" Target="https://advance.lexis.com/api/document?collection=cases&amp;id=urn:contentItem:43GB-9HJ0-0039-423T-00000-00&amp;context=" TargetMode="External"/><Relationship Id="rId17" Type="http://schemas.openxmlformats.org/officeDocument/2006/relationships/hyperlink" Target="https://advance.lexis.com/api/document?collection=cases&amp;id=urn:contentItem:43GB-9HJ0-0039-423T-00000-00&amp;context=" TargetMode="External"/><Relationship Id="rId18" Type="http://schemas.openxmlformats.org/officeDocument/2006/relationships/hyperlink" Target="https://advance.lexis.com/api/document?collection=cases&amp;id=urn:contentItem:43GB-9HJ0-0039-423T-00000-00&amp;context=" TargetMode="External"/><Relationship Id="rId19" Type="http://schemas.openxmlformats.org/officeDocument/2006/relationships/hyperlink" Target="https://advance.lexis.com/api/document?collection=cases&amp;id=urn:contentItem:43GB-9HJ0-0039-423T-00000-00&amp;context=" TargetMode="External"/><Relationship Id="rId37" Type="http://schemas.openxmlformats.org/officeDocument/2006/relationships/hyperlink" Target="https://advance.lexis.com/api/document?collection=cases&amp;id=urn:contentItem:3T93-3YP0-0039-43WJ-00000-00&amp;context=" TargetMode="External"/><Relationship Id="rId38" Type="http://schemas.openxmlformats.org/officeDocument/2006/relationships/hyperlink" Target="https://advance.lexis.com/api/document?collection=cases&amp;id=urn:contentItem:3T93-3YP0-0039-43WJ-00000-00&amp;context=" TargetMode="External"/><Relationship Id="rId39" Type="http://schemas.openxmlformats.org/officeDocument/2006/relationships/hyperlink" Target="https://advance.lexis.com/api/document?collection=cases&amp;id=urn:contentItem:40KJ-P780-0039-43T1-00000-00&amp;context=" TargetMode="External"/><Relationship Id="rId40" Type="http://schemas.openxmlformats.org/officeDocument/2006/relationships/hyperlink" Target="https://advance.lexis.com/api/document?collection=cases&amp;id=urn:contentItem:40KJ-P780-0039-43T1-00000-00&amp;context=" TargetMode="External"/><Relationship Id="rId41" Type="http://schemas.openxmlformats.org/officeDocument/2006/relationships/hyperlink" Target="https://advance.lexis.com/api/document?collection=cases&amp;id=urn:contentItem:40KJ-P780-0039-43T1-00000-00&amp;context=" TargetMode="External"/><Relationship Id="rId42" Type="http://schemas.openxmlformats.org/officeDocument/2006/relationships/hyperlink" Target="https://advance.lexis.com/api/document?collection=cases&amp;id=urn:contentItem:42PC-M260-0039-40WF-00000-00&amp;context=" TargetMode="External"/><Relationship Id="rId43" Type="http://schemas.openxmlformats.org/officeDocument/2006/relationships/hyperlink" Target="https://advance.lexis.com/api/document?collection=cases&amp;id=urn:contentItem:42PC-M260-0039-40WF-00000-00&amp;context=" TargetMode="External"/><Relationship Id="rId44" Type="http://schemas.openxmlformats.org/officeDocument/2006/relationships/hyperlink" Target="https://advance.lexis.com/api/document?collection=cases&amp;id=urn:contentItem:4656-C5K0-0039-455P-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3183</Words>
  <Characters>18146</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PRACTICE TIPS: HOW PRESLEY HOMES HAS CHANGED THE DUTY TO DEFEND</dc:title>
  <cp:lastModifiedBy>malki109@mail.chapman.edu</cp:lastModifiedBy>
  <cp:revision>2</cp:revision>
  <dcterms:created xsi:type="dcterms:W3CDTF">2018-08-30T23:26:00Z</dcterms:created>
  <dcterms:modified xsi:type="dcterms:W3CDTF">2018-08-30T23:26:00Z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72671823</vt:lpwstr>
  </property>
  <property fmtid="{D5CDD505-2E9C-101B-9397-08002B2CF9AE}" pid="3" name="LADocCount">
    <vt:i4>2</vt:i4>
  </property>
  <property fmtid="{D5CDD505-2E9C-101B-9397-08002B2CF9AE}" pid="4" name="UserPermID">
    <vt:lpwstr>urn:user:PA186021377</vt:lpwstr>
  </property>
</Properties>
</file>